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7088"/>
        <w:gridCol w:w="3544"/>
      </w:tblGrid>
      <w:tr w:rsidR="009220F9" w:rsidRPr="009220F9" w:rsidTr="00B00C27">
        <w:trPr>
          <w:trHeight w:val="570"/>
        </w:trPr>
        <w:tc>
          <w:tcPr>
            <w:tcW w:w="11057" w:type="dxa"/>
            <w:gridSpan w:val="3"/>
            <w:shd w:val="pct20" w:color="auto" w:fill="FFFFFF"/>
          </w:tcPr>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23/2.DÖNEM </w:t>
            </w:r>
            <w:r w:rsidR="00541675">
              <w:rPr>
                <w:rFonts w:ascii="Arial Black" w:hAnsi="Arial Black"/>
                <w:sz w:val="24"/>
                <w:szCs w:val="24"/>
                <w:lang w:eastAsia="en-US"/>
              </w:rPr>
              <w:t>10</w:t>
            </w:r>
            <w:r>
              <w:rPr>
                <w:rFonts w:ascii="Arial Black" w:hAnsi="Arial Black"/>
                <w:sz w:val="24"/>
                <w:szCs w:val="24"/>
                <w:lang w:eastAsia="en-US"/>
              </w:rPr>
              <w:t>.TOPLANTI</w:t>
            </w:r>
          </w:p>
          <w:p w:rsidR="008B2590" w:rsidRDefault="008B2590" w:rsidP="008B259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E116C3" w:rsidRPr="00050B37" w:rsidRDefault="008B2590" w:rsidP="00541675">
            <w:pPr>
              <w:pStyle w:val="AralkYok"/>
              <w:rPr>
                <w:rFonts w:ascii="Arial Black" w:hAnsi="Arial Black"/>
                <w:sz w:val="24"/>
                <w:szCs w:val="24"/>
              </w:rPr>
            </w:pPr>
            <w:r>
              <w:rPr>
                <w:rFonts w:ascii="Arial Black" w:hAnsi="Arial Black"/>
                <w:sz w:val="24"/>
                <w:szCs w:val="24"/>
                <w:lang w:eastAsia="en-US"/>
              </w:rPr>
              <w:t xml:space="preserve">                       </w:t>
            </w:r>
            <w:r w:rsidR="00C047E6">
              <w:rPr>
                <w:rFonts w:ascii="Arial Black" w:hAnsi="Arial Black"/>
                <w:sz w:val="24"/>
                <w:szCs w:val="24"/>
                <w:lang w:eastAsia="en-US"/>
              </w:rPr>
              <w:t xml:space="preserve">                              0</w:t>
            </w:r>
            <w:r w:rsidR="00541675">
              <w:rPr>
                <w:rFonts w:ascii="Arial Black" w:hAnsi="Arial Black"/>
                <w:sz w:val="24"/>
                <w:szCs w:val="24"/>
                <w:lang w:eastAsia="en-US"/>
              </w:rPr>
              <w:t>1</w:t>
            </w:r>
            <w:r w:rsidR="001A7B13">
              <w:rPr>
                <w:rFonts w:ascii="Arial Black" w:hAnsi="Arial Black"/>
                <w:sz w:val="24"/>
                <w:szCs w:val="24"/>
                <w:lang w:eastAsia="en-US"/>
              </w:rPr>
              <w:t>/</w:t>
            </w:r>
            <w:r w:rsidR="00373C64">
              <w:rPr>
                <w:rFonts w:ascii="Arial Black" w:hAnsi="Arial Black"/>
                <w:sz w:val="24"/>
                <w:szCs w:val="24"/>
                <w:lang w:eastAsia="en-US"/>
              </w:rPr>
              <w:t>1</w:t>
            </w:r>
            <w:r w:rsidR="00541675">
              <w:rPr>
                <w:rFonts w:ascii="Arial Black" w:hAnsi="Arial Black"/>
                <w:sz w:val="24"/>
                <w:szCs w:val="24"/>
                <w:lang w:eastAsia="en-US"/>
              </w:rPr>
              <w:t>2</w:t>
            </w:r>
            <w:r>
              <w:rPr>
                <w:rFonts w:ascii="Arial Black" w:hAnsi="Arial Black"/>
                <w:sz w:val="24"/>
                <w:szCs w:val="24"/>
                <w:lang w:eastAsia="en-US"/>
              </w:rPr>
              <w:t xml:space="preserve">/2020 – 14.00                                      </w:t>
            </w:r>
            <w:r>
              <w:rPr>
                <w:rFonts w:ascii="Tahoma" w:hAnsi="Tahoma"/>
                <w:sz w:val="24"/>
                <w:szCs w:val="24"/>
                <w:lang w:eastAsia="en-US"/>
              </w:rPr>
              <w:t xml:space="preserve">       </w:t>
            </w:r>
          </w:p>
        </w:tc>
      </w:tr>
      <w:tr w:rsidR="009220F9" w:rsidRPr="009220F9" w:rsidTr="00B00C27">
        <w:trPr>
          <w:cantSplit/>
          <w:trHeight w:val="424"/>
        </w:trPr>
        <w:tc>
          <w:tcPr>
            <w:tcW w:w="11057" w:type="dxa"/>
            <w:gridSpan w:val="3"/>
            <w:shd w:val="pct20" w:color="auto" w:fill="FFFFFF"/>
          </w:tcPr>
          <w:p w:rsidR="009220F9" w:rsidRPr="009220F9" w:rsidRDefault="009220F9" w:rsidP="00775426">
            <w:pPr>
              <w:pStyle w:val="Balk6"/>
              <w:spacing w:before="120" w:after="120"/>
              <w:rPr>
                <w:rFonts w:ascii="Tahoma" w:hAnsi="Tahoma"/>
                <w:szCs w:val="24"/>
              </w:rPr>
            </w:pPr>
            <w:r w:rsidRPr="009220F9">
              <w:rPr>
                <w:rFonts w:ascii="Tahoma" w:hAnsi="Tahoma"/>
                <w:szCs w:val="24"/>
              </w:rPr>
              <w:t>GÜNDEM</w:t>
            </w:r>
          </w:p>
        </w:tc>
      </w:tr>
      <w:tr w:rsidR="009220F9" w:rsidRPr="009220F9" w:rsidTr="00B00C27">
        <w:trPr>
          <w:trHeight w:val="300"/>
        </w:trPr>
        <w:tc>
          <w:tcPr>
            <w:tcW w:w="425" w:type="dxa"/>
            <w:vAlign w:val="center"/>
          </w:tcPr>
          <w:p w:rsidR="009220F9" w:rsidRPr="009220F9" w:rsidRDefault="009220F9" w:rsidP="00775426">
            <w:pPr>
              <w:ind w:right="-176"/>
              <w:rPr>
                <w:rFonts w:ascii="Tahoma" w:hAnsi="Tahoma"/>
                <w:b/>
                <w:sz w:val="24"/>
                <w:szCs w:val="24"/>
              </w:rPr>
            </w:pPr>
            <w:r w:rsidRPr="009220F9">
              <w:rPr>
                <w:rFonts w:ascii="Tahoma" w:hAnsi="Tahoma"/>
                <w:b/>
                <w:sz w:val="24"/>
                <w:szCs w:val="24"/>
              </w:rPr>
              <w:t>S.</w:t>
            </w:r>
          </w:p>
          <w:p w:rsidR="009220F9" w:rsidRPr="009220F9" w:rsidRDefault="009220F9" w:rsidP="00775426">
            <w:pPr>
              <w:ind w:right="-176"/>
              <w:rPr>
                <w:rFonts w:ascii="Tahoma" w:hAnsi="Tahoma"/>
                <w:b/>
                <w:sz w:val="24"/>
                <w:szCs w:val="24"/>
              </w:rPr>
            </w:pPr>
            <w:r w:rsidRPr="009220F9">
              <w:rPr>
                <w:rFonts w:ascii="Tahoma" w:hAnsi="Tahoma"/>
                <w:b/>
                <w:sz w:val="24"/>
                <w:szCs w:val="24"/>
              </w:rPr>
              <w:t>No</w:t>
            </w:r>
          </w:p>
        </w:tc>
        <w:tc>
          <w:tcPr>
            <w:tcW w:w="7088" w:type="dxa"/>
            <w:vAlign w:val="center"/>
          </w:tcPr>
          <w:p w:rsidR="009220F9" w:rsidRPr="009220F9" w:rsidRDefault="009220F9" w:rsidP="00775426">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9220F9" w:rsidRPr="009220F9" w:rsidRDefault="009220F9" w:rsidP="00775426">
            <w:pPr>
              <w:pStyle w:val="Balk7"/>
              <w:spacing w:before="120"/>
              <w:ind w:right="-176"/>
              <w:rPr>
                <w:rFonts w:ascii="Tahoma" w:hAnsi="Tahoma"/>
                <w:sz w:val="24"/>
                <w:szCs w:val="24"/>
              </w:rPr>
            </w:pPr>
            <w:r w:rsidRPr="009220F9">
              <w:rPr>
                <w:rFonts w:ascii="Tahoma" w:hAnsi="Tahoma"/>
                <w:sz w:val="24"/>
                <w:szCs w:val="24"/>
              </w:rPr>
              <w:t>KARAR ÖZETİ</w:t>
            </w:r>
          </w:p>
        </w:tc>
      </w:tr>
      <w:tr w:rsidR="00E924D9" w:rsidRPr="00050B37" w:rsidTr="00B00C27">
        <w:trPr>
          <w:trHeight w:val="553"/>
        </w:trPr>
        <w:tc>
          <w:tcPr>
            <w:tcW w:w="425" w:type="dxa"/>
            <w:vAlign w:val="center"/>
          </w:tcPr>
          <w:p w:rsidR="00E924D9" w:rsidRPr="00CD1F59" w:rsidRDefault="00E924D9" w:rsidP="007254D7">
            <w:pPr>
              <w:jc w:val="both"/>
              <w:rPr>
                <w:b/>
                <w:sz w:val="24"/>
                <w:szCs w:val="24"/>
              </w:rPr>
            </w:pPr>
            <w:r w:rsidRPr="00CD1F59">
              <w:rPr>
                <w:b/>
                <w:sz w:val="24"/>
                <w:szCs w:val="24"/>
              </w:rPr>
              <w:t xml:space="preserve"> 1</w:t>
            </w:r>
          </w:p>
        </w:tc>
        <w:tc>
          <w:tcPr>
            <w:tcW w:w="7088" w:type="dxa"/>
            <w:vAlign w:val="center"/>
          </w:tcPr>
          <w:p w:rsidR="00E924D9" w:rsidRPr="00CD1F59" w:rsidRDefault="00E924D9" w:rsidP="00E658C9">
            <w:pPr>
              <w:pStyle w:val="GvdeMetni"/>
              <w:rPr>
                <w:color w:val="auto"/>
                <w:szCs w:val="24"/>
                <w:lang w:eastAsia="en-US"/>
              </w:rPr>
            </w:pPr>
            <w:r w:rsidRPr="00CD1F59">
              <w:rPr>
                <w:color w:val="auto"/>
                <w:szCs w:val="24"/>
                <w:lang w:eastAsia="en-US"/>
              </w:rPr>
              <w:t>Yoklama</w:t>
            </w:r>
          </w:p>
        </w:tc>
        <w:tc>
          <w:tcPr>
            <w:tcW w:w="3544" w:type="dxa"/>
          </w:tcPr>
          <w:p w:rsidR="00E924D9" w:rsidRPr="00050B37" w:rsidRDefault="00E924D9" w:rsidP="00E658C9">
            <w:pPr>
              <w:rPr>
                <w:sz w:val="24"/>
                <w:szCs w:val="24"/>
              </w:rPr>
            </w:pPr>
          </w:p>
        </w:tc>
      </w:tr>
      <w:tr w:rsidR="00E924D9" w:rsidRPr="00050B37" w:rsidTr="00B00C27">
        <w:trPr>
          <w:trHeight w:val="539"/>
        </w:trPr>
        <w:tc>
          <w:tcPr>
            <w:tcW w:w="425" w:type="dxa"/>
            <w:vAlign w:val="center"/>
          </w:tcPr>
          <w:p w:rsidR="00E924D9" w:rsidRPr="00CD1F59" w:rsidRDefault="00E924D9" w:rsidP="007254D7">
            <w:pPr>
              <w:ind w:right="-174"/>
              <w:jc w:val="both"/>
              <w:rPr>
                <w:b/>
                <w:sz w:val="24"/>
                <w:szCs w:val="24"/>
              </w:rPr>
            </w:pPr>
            <w:r w:rsidRPr="00CD1F59">
              <w:rPr>
                <w:b/>
                <w:sz w:val="24"/>
                <w:szCs w:val="24"/>
              </w:rPr>
              <w:t xml:space="preserve"> </w:t>
            </w:r>
            <w:r w:rsidR="00F053F8" w:rsidRPr="00CD1F59">
              <w:rPr>
                <w:b/>
                <w:sz w:val="24"/>
                <w:szCs w:val="24"/>
              </w:rPr>
              <w:t>2</w:t>
            </w:r>
          </w:p>
        </w:tc>
        <w:tc>
          <w:tcPr>
            <w:tcW w:w="7088" w:type="dxa"/>
            <w:vAlign w:val="center"/>
          </w:tcPr>
          <w:p w:rsidR="00E924D9" w:rsidRPr="00CD1F59" w:rsidRDefault="00E924D9" w:rsidP="00E658C9">
            <w:pPr>
              <w:pStyle w:val="GvdeMetni"/>
              <w:rPr>
                <w:color w:val="auto"/>
                <w:szCs w:val="24"/>
                <w:lang w:eastAsia="en-US"/>
              </w:rPr>
            </w:pPr>
            <w:r w:rsidRPr="00CD1F59">
              <w:rPr>
                <w:color w:val="auto"/>
                <w:szCs w:val="24"/>
                <w:lang w:eastAsia="en-US"/>
              </w:rPr>
              <w:t>Açılış</w:t>
            </w:r>
          </w:p>
          <w:p w:rsidR="00045F19" w:rsidRPr="00CD1F59" w:rsidRDefault="00045F19" w:rsidP="00E658C9">
            <w:pPr>
              <w:pStyle w:val="GvdeMetni"/>
              <w:rPr>
                <w:color w:val="auto"/>
                <w:szCs w:val="24"/>
                <w:lang w:eastAsia="en-US"/>
              </w:rPr>
            </w:pPr>
          </w:p>
        </w:tc>
        <w:tc>
          <w:tcPr>
            <w:tcW w:w="3544" w:type="dxa"/>
          </w:tcPr>
          <w:p w:rsidR="00E924D9" w:rsidRPr="00050B37" w:rsidRDefault="00E924D9" w:rsidP="00E658C9">
            <w:pPr>
              <w:rPr>
                <w:sz w:val="24"/>
                <w:szCs w:val="24"/>
              </w:rPr>
            </w:pPr>
          </w:p>
        </w:tc>
      </w:tr>
      <w:tr w:rsidR="0054525A" w:rsidRPr="00050B37" w:rsidTr="00B00C27">
        <w:trPr>
          <w:trHeight w:val="979"/>
        </w:trPr>
        <w:tc>
          <w:tcPr>
            <w:tcW w:w="425" w:type="dxa"/>
            <w:vAlign w:val="center"/>
          </w:tcPr>
          <w:p w:rsidR="0054525A" w:rsidRPr="00CD1F59" w:rsidRDefault="00541675" w:rsidP="00867B33">
            <w:pPr>
              <w:ind w:right="-174"/>
              <w:jc w:val="both"/>
              <w:rPr>
                <w:b/>
                <w:sz w:val="24"/>
                <w:szCs w:val="24"/>
              </w:rPr>
            </w:pPr>
            <w:r>
              <w:rPr>
                <w:b/>
                <w:sz w:val="24"/>
                <w:szCs w:val="24"/>
              </w:rPr>
              <w:t xml:space="preserve"> 3</w:t>
            </w:r>
          </w:p>
        </w:tc>
        <w:tc>
          <w:tcPr>
            <w:tcW w:w="7088" w:type="dxa"/>
          </w:tcPr>
          <w:p w:rsidR="0054525A" w:rsidRDefault="0054525A" w:rsidP="00965504">
            <w:pPr>
              <w:tabs>
                <w:tab w:val="num" w:pos="705"/>
              </w:tabs>
              <w:jc w:val="both"/>
              <w:rPr>
                <w:sz w:val="24"/>
                <w:szCs w:val="24"/>
              </w:rPr>
            </w:pPr>
            <w:r w:rsidRPr="00CD1F59">
              <w:rPr>
                <w:sz w:val="24"/>
                <w:szCs w:val="24"/>
              </w:rPr>
              <w:t>Erbaa İlçesi Koçak Köyü</w:t>
            </w:r>
            <w:r w:rsidR="00F8686C">
              <w:rPr>
                <w:sz w:val="24"/>
                <w:szCs w:val="24"/>
              </w:rPr>
              <w:t xml:space="preserve">nde, üzerinde Koçak ilkokulu bulunan mülkiyeti </w:t>
            </w:r>
            <w:r w:rsidR="00965504">
              <w:rPr>
                <w:sz w:val="24"/>
                <w:szCs w:val="24"/>
              </w:rPr>
              <w:t>İdaremize</w:t>
            </w:r>
            <w:r w:rsidR="00F8686C">
              <w:rPr>
                <w:sz w:val="24"/>
                <w:szCs w:val="24"/>
              </w:rPr>
              <w:t xml:space="preserve"> ait  190 ada 9 No.lu parselin onaylı imar planında “</w:t>
            </w:r>
            <w:r w:rsidR="00965504">
              <w:rPr>
                <w:sz w:val="24"/>
                <w:szCs w:val="24"/>
              </w:rPr>
              <w:t xml:space="preserve">eğitim” olarak planlı olan taşınmaz üzerinde imar  </w:t>
            </w:r>
            <w:r w:rsidRPr="00CD1F59">
              <w:rPr>
                <w:sz w:val="24"/>
                <w:szCs w:val="24"/>
              </w:rPr>
              <w:t>planı değişikliği</w:t>
            </w:r>
            <w:r w:rsidR="00F31A61">
              <w:rPr>
                <w:sz w:val="24"/>
                <w:szCs w:val="24"/>
              </w:rPr>
              <w:t xml:space="preserve"> yapılması talebine</w:t>
            </w:r>
            <w:r w:rsidR="00965504">
              <w:rPr>
                <w:sz w:val="24"/>
                <w:szCs w:val="24"/>
              </w:rPr>
              <w:t xml:space="preserve"> </w:t>
            </w:r>
            <w:r w:rsidR="00BC1047" w:rsidRPr="00CD1F59">
              <w:rPr>
                <w:sz w:val="24"/>
                <w:szCs w:val="24"/>
              </w:rPr>
              <w:t xml:space="preserve"> ilişkin </w:t>
            </w:r>
            <w:r w:rsidR="00541675">
              <w:rPr>
                <w:b/>
                <w:sz w:val="24"/>
                <w:szCs w:val="24"/>
              </w:rPr>
              <w:t xml:space="preserve">İmar ve Bayındırlık Komisyonu raporunun </w:t>
            </w:r>
            <w:r w:rsidR="00965504" w:rsidRPr="00965504">
              <w:rPr>
                <w:sz w:val="24"/>
                <w:szCs w:val="24"/>
              </w:rPr>
              <w:t>görüşülerek konunun karara bağlanması.</w:t>
            </w:r>
          </w:p>
          <w:p w:rsidR="00C86D7A" w:rsidRPr="00CD1F59" w:rsidRDefault="00C86D7A" w:rsidP="00965504">
            <w:pPr>
              <w:tabs>
                <w:tab w:val="num" w:pos="705"/>
              </w:tabs>
              <w:jc w:val="both"/>
              <w:rPr>
                <w:sz w:val="24"/>
                <w:szCs w:val="24"/>
              </w:rPr>
            </w:pPr>
          </w:p>
        </w:tc>
        <w:tc>
          <w:tcPr>
            <w:tcW w:w="3544" w:type="dxa"/>
          </w:tcPr>
          <w:p w:rsidR="0054525A" w:rsidRPr="00050B37" w:rsidRDefault="0054525A" w:rsidP="00867B33">
            <w:pPr>
              <w:rPr>
                <w:sz w:val="24"/>
                <w:szCs w:val="24"/>
              </w:rPr>
            </w:pPr>
          </w:p>
        </w:tc>
      </w:tr>
      <w:tr w:rsidR="00B00C27" w:rsidTr="00B00C27">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hideMark/>
          </w:tcPr>
          <w:p w:rsidR="00B00C27" w:rsidRDefault="00B00C27" w:rsidP="00B43311">
            <w:pPr>
              <w:spacing w:line="276" w:lineRule="auto"/>
              <w:jc w:val="both"/>
              <w:rPr>
                <w:b/>
                <w:sz w:val="24"/>
                <w:szCs w:val="24"/>
                <w:lang w:eastAsia="en-US"/>
              </w:rPr>
            </w:pPr>
            <w:r>
              <w:rPr>
                <w:b/>
                <w:sz w:val="24"/>
                <w:szCs w:val="24"/>
                <w:lang w:eastAsia="en-US"/>
              </w:rPr>
              <w:t xml:space="preserve"> 4</w:t>
            </w:r>
          </w:p>
        </w:tc>
        <w:tc>
          <w:tcPr>
            <w:tcW w:w="7088" w:type="dxa"/>
            <w:tcBorders>
              <w:top w:val="single" w:sz="6" w:space="0" w:color="auto"/>
              <w:left w:val="single" w:sz="6" w:space="0" w:color="auto"/>
              <w:bottom w:val="single" w:sz="6" w:space="0" w:color="auto"/>
              <w:right w:val="single" w:sz="6" w:space="0" w:color="auto"/>
            </w:tcBorders>
            <w:vAlign w:val="center"/>
          </w:tcPr>
          <w:p w:rsidR="00B00C27" w:rsidRPr="00B00C27" w:rsidRDefault="00B00C27" w:rsidP="00B43311">
            <w:pPr>
              <w:pStyle w:val="AralkYok"/>
              <w:jc w:val="both"/>
              <w:rPr>
                <w:sz w:val="24"/>
                <w:szCs w:val="24"/>
                <w:lang w:eastAsia="en-US"/>
              </w:rPr>
            </w:pPr>
            <w:r>
              <w:rPr>
                <w:rFonts w:eastAsia="Calibri"/>
                <w:sz w:val="24"/>
                <w:szCs w:val="24"/>
              </w:rPr>
              <w:t>İlimiz Merkez Ulucami Mah. 225 ada 4 No.lu parselde kayıtlı 1.035,00   m</w:t>
            </w:r>
            <w:r>
              <w:rPr>
                <w:rFonts w:eastAsia="Calibri"/>
                <w:sz w:val="24"/>
                <w:szCs w:val="24"/>
                <w:vertAlign w:val="superscript"/>
              </w:rPr>
              <w:t>2</w:t>
            </w:r>
            <w:r>
              <w:rPr>
                <w:rFonts w:eastAsia="Calibri"/>
                <w:sz w:val="24"/>
                <w:szCs w:val="24"/>
              </w:rPr>
              <w:t xml:space="preserve"> lik taşınmazın İlimiz kültür ve turizme kazandırmak amacıyla satın alınması talebine i</w:t>
            </w:r>
            <w:r>
              <w:rPr>
                <w:bCs/>
                <w:sz w:val="24"/>
                <w:szCs w:val="24"/>
              </w:rPr>
              <w:t xml:space="preserve">lişkin </w:t>
            </w:r>
            <w:r>
              <w:rPr>
                <w:b/>
                <w:sz w:val="24"/>
                <w:szCs w:val="24"/>
                <w:lang w:eastAsia="en-US"/>
              </w:rPr>
              <w:t xml:space="preserve">Plan ve Bütçe Komisyonu, Turizm ve Gençlik Spor Komisyonu ile Eğitim, Kültür ve Sosyal Hizmetler Komisyonu (müşterek) raporunun </w:t>
            </w:r>
            <w:r>
              <w:rPr>
                <w:sz w:val="24"/>
                <w:szCs w:val="24"/>
                <w:lang w:eastAsia="en-US"/>
              </w:rPr>
              <w:t>görüşülerek konunun karara bağlanması.</w:t>
            </w:r>
          </w:p>
          <w:p w:rsidR="00B00C27" w:rsidRDefault="00B00C27" w:rsidP="00B43311">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B00C27" w:rsidRDefault="00B00C27" w:rsidP="00B43311">
            <w:pPr>
              <w:spacing w:line="276" w:lineRule="auto"/>
              <w:rPr>
                <w:sz w:val="24"/>
                <w:szCs w:val="24"/>
                <w:lang w:eastAsia="en-US"/>
              </w:rPr>
            </w:pPr>
          </w:p>
        </w:tc>
      </w:tr>
      <w:tr w:rsidR="00B00C27" w:rsidRPr="00050B37" w:rsidTr="00B00C27">
        <w:trPr>
          <w:trHeight w:val="979"/>
        </w:trPr>
        <w:tc>
          <w:tcPr>
            <w:tcW w:w="425" w:type="dxa"/>
            <w:vAlign w:val="center"/>
          </w:tcPr>
          <w:p w:rsidR="00B00C27" w:rsidRDefault="00B00C27" w:rsidP="00B00C27">
            <w:pPr>
              <w:spacing w:line="276" w:lineRule="auto"/>
              <w:jc w:val="both"/>
              <w:rPr>
                <w:b/>
                <w:sz w:val="24"/>
                <w:szCs w:val="24"/>
                <w:lang w:eastAsia="en-US"/>
              </w:rPr>
            </w:pPr>
            <w:r>
              <w:rPr>
                <w:b/>
                <w:sz w:val="24"/>
                <w:szCs w:val="24"/>
                <w:lang w:eastAsia="en-US"/>
              </w:rPr>
              <w:t xml:space="preserve"> 5</w:t>
            </w:r>
          </w:p>
        </w:tc>
        <w:tc>
          <w:tcPr>
            <w:tcW w:w="7088" w:type="dxa"/>
            <w:vAlign w:val="center"/>
          </w:tcPr>
          <w:p w:rsidR="00B00C27" w:rsidRPr="00B00C27" w:rsidRDefault="00B00C27" w:rsidP="00B00C27">
            <w:pPr>
              <w:pStyle w:val="AralkYok"/>
              <w:jc w:val="both"/>
              <w:rPr>
                <w:sz w:val="24"/>
                <w:szCs w:val="24"/>
                <w:lang w:eastAsia="en-US"/>
              </w:rPr>
            </w:pPr>
            <w:r w:rsidRPr="004E52A8">
              <w:rPr>
                <w:sz w:val="24"/>
                <w:szCs w:val="24"/>
                <w:lang w:eastAsia="en-US"/>
              </w:rPr>
              <w:t xml:space="preserve">Erbaa İlçesi Moda Caddesi mevkiinde mülkiyeti İdaremize ait 203 ada 9 No.lu parselde kayıtlı taşınmazın, Rehberlik ve Araştırma Merkezi ile Bilim Sanat Merkezi olarak kullanılmak üzere Milli Eğitim Bakanlığına tahsis talebine ilişkin </w:t>
            </w:r>
            <w:r>
              <w:rPr>
                <w:b/>
                <w:sz w:val="24"/>
                <w:szCs w:val="24"/>
                <w:lang w:eastAsia="en-US"/>
              </w:rPr>
              <w:t xml:space="preserve">Plan ve Bütçe Komisyonu ile </w:t>
            </w:r>
            <w:r>
              <w:rPr>
                <w:b/>
                <w:sz w:val="24"/>
                <w:szCs w:val="24"/>
                <w:lang w:eastAsia="en-US"/>
              </w:rPr>
              <w:t xml:space="preserve">Eğitim, Kültür ve Sosyal Hizmetler Komisyonu (müşterek) raporunun </w:t>
            </w:r>
            <w:r>
              <w:rPr>
                <w:sz w:val="24"/>
                <w:szCs w:val="24"/>
                <w:lang w:eastAsia="en-US"/>
              </w:rPr>
              <w:t>görüşülerek konunun karara bağlanması.</w:t>
            </w:r>
          </w:p>
          <w:p w:rsidR="00B00C27" w:rsidRDefault="00B00C27" w:rsidP="00B00C27">
            <w:pPr>
              <w:pStyle w:val="AralkYok"/>
              <w:jc w:val="both"/>
              <w:rPr>
                <w:sz w:val="24"/>
                <w:szCs w:val="24"/>
                <w:lang w:eastAsia="en-US"/>
              </w:rPr>
            </w:pPr>
            <w:r>
              <w:rPr>
                <w:b/>
                <w:sz w:val="24"/>
                <w:szCs w:val="24"/>
                <w:lang w:eastAsia="en-US"/>
              </w:rPr>
              <w:t xml:space="preserve"> </w:t>
            </w:r>
          </w:p>
        </w:tc>
        <w:tc>
          <w:tcPr>
            <w:tcW w:w="3544" w:type="dxa"/>
          </w:tcPr>
          <w:p w:rsidR="00B00C27" w:rsidRDefault="00B00C27" w:rsidP="00B00C27">
            <w:pPr>
              <w:spacing w:line="276" w:lineRule="auto"/>
              <w:rPr>
                <w:sz w:val="24"/>
                <w:szCs w:val="24"/>
                <w:lang w:eastAsia="en-US"/>
              </w:rPr>
            </w:pPr>
          </w:p>
        </w:tc>
      </w:tr>
      <w:tr w:rsidR="00B00C27" w:rsidTr="00B00C27">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B00C27" w:rsidRDefault="00B00C27" w:rsidP="00B00C27">
            <w:pPr>
              <w:spacing w:line="276" w:lineRule="auto"/>
              <w:jc w:val="both"/>
              <w:rPr>
                <w:b/>
                <w:sz w:val="24"/>
                <w:szCs w:val="24"/>
                <w:lang w:eastAsia="en-US"/>
              </w:rPr>
            </w:pPr>
            <w:r>
              <w:rPr>
                <w:b/>
                <w:sz w:val="24"/>
                <w:szCs w:val="24"/>
                <w:lang w:eastAsia="en-US"/>
              </w:rPr>
              <w:t xml:space="preserve"> 6</w:t>
            </w:r>
          </w:p>
        </w:tc>
        <w:tc>
          <w:tcPr>
            <w:tcW w:w="7088" w:type="dxa"/>
            <w:tcBorders>
              <w:top w:val="single" w:sz="6" w:space="0" w:color="auto"/>
              <w:left w:val="single" w:sz="6" w:space="0" w:color="auto"/>
              <w:bottom w:val="single" w:sz="6" w:space="0" w:color="auto"/>
              <w:right w:val="single" w:sz="6" w:space="0" w:color="auto"/>
            </w:tcBorders>
            <w:vAlign w:val="center"/>
          </w:tcPr>
          <w:p w:rsidR="00B00C27" w:rsidRPr="00B00C27" w:rsidRDefault="00B00C27" w:rsidP="00B00C27">
            <w:pPr>
              <w:pStyle w:val="AralkYok"/>
              <w:jc w:val="both"/>
              <w:rPr>
                <w:sz w:val="24"/>
                <w:szCs w:val="24"/>
                <w:lang w:eastAsia="en-US"/>
              </w:rPr>
            </w:pPr>
            <w:r>
              <w:rPr>
                <w:rFonts w:eastAsia="Calibri"/>
                <w:sz w:val="24"/>
                <w:szCs w:val="24"/>
              </w:rPr>
              <w:t xml:space="preserve">Almus İlçesi Akarçay-Görümlü Kasabası Şenyurt Mah. Mülkiyeti İdaremize ait bahçe vasıflı taşınmaz Belediye imar planında sosyal kültürel tesis alanı ve park alanında kaldığından, sözkonusu taşınmazın Belediye adına tahsis talebine ilişkin </w:t>
            </w:r>
            <w:r>
              <w:rPr>
                <w:b/>
                <w:sz w:val="24"/>
                <w:szCs w:val="24"/>
                <w:lang w:eastAsia="en-US"/>
              </w:rPr>
              <w:t xml:space="preserve"> </w:t>
            </w:r>
            <w:r>
              <w:rPr>
                <w:b/>
                <w:sz w:val="24"/>
                <w:szCs w:val="24"/>
                <w:lang w:eastAsia="en-US"/>
              </w:rPr>
              <w:t xml:space="preserve">Plan ve Bütçe Komisyonu ile </w:t>
            </w:r>
            <w:r>
              <w:rPr>
                <w:b/>
                <w:sz w:val="24"/>
                <w:szCs w:val="24"/>
                <w:lang w:eastAsia="en-US"/>
              </w:rPr>
              <w:t xml:space="preserve">İmar ve Bayındırlık Komisyonu </w:t>
            </w:r>
            <w:r>
              <w:rPr>
                <w:b/>
                <w:sz w:val="24"/>
                <w:szCs w:val="24"/>
                <w:lang w:eastAsia="en-US"/>
              </w:rPr>
              <w:t xml:space="preserve">(müşterek) raporunun </w:t>
            </w:r>
            <w:r>
              <w:rPr>
                <w:sz w:val="24"/>
                <w:szCs w:val="24"/>
                <w:lang w:eastAsia="en-US"/>
              </w:rPr>
              <w:t>görüşülerek konunun karara bağlanması.</w:t>
            </w:r>
          </w:p>
          <w:p w:rsidR="00B00C27" w:rsidRDefault="00B00C27" w:rsidP="00B00C27">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B00C27" w:rsidRDefault="00B00C27" w:rsidP="00B00C27">
            <w:pPr>
              <w:spacing w:line="276" w:lineRule="auto"/>
              <w:rPr>
                <w:sz w:val="24"/>
                <w:szCs w:val="24"/>
                <w:lang w:eastAsia="en-US"/>
              </w:rPr>
            </w:pPr>
          </w:p>
        </w:tc>
      </w:tr>
      <w:tr w:rsidR="00B00C27" w:rsidTr="00B00C27">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B00C27" w:rsidRDefault="00B00C27" w:rsidP="00B00C27">
            <w:pPr>
              <w:spacing w:line="276" w:lineRule="auto"/>
              <w:jc w:val="both"/>
              <w:rPr>
                <w:b/>
                <w:sz w:val="24"/>
                <w:szCs w:val="24"/>
                <w:lang w:eastAsia="en-US"/>
              </w:rPr>
            </w:pPr>
            <w:r>
              <w:rPr>
                <w:b/>
                <w:sz w:val="24"/>
                <w:szCs w:val="24"/>
                <w:lang w:eastAsia="en-US"/>
              </w:rPr>
              <w:t xml:space="preserve"> 7</w:t>
            </w:r>
          </w:p>
        </w:tc>
        <w:tc>
          <w:tcPr>
            <w:tcW w:w="7088" w:type="dxa"/>
            <w:tcBorders>
              <w:top w:val="single" w:sz="6" w:space="0" w:color="auto"/>
              <w:left w:val="single" w:sz="6" w:space="0" w:color="auto"/>
              <w:bottom w:val="single" w:sz="6" w:space="0" w:color="auto"/>
              <w:right w:val="single" w:sz="6" w:space="0" w:color="auto"/>
            </w:tcBorders>
            <w:vAlign w:val="center"/>
          </w:tcPr>
          <w:p w:rsidR="00B00C27" w:rsidRDefault="00B00C27" w:rsidP="00B00C27">
            <w:pPr>
              <w:pStyle w:val="AralkYok"/>
              <w:jc w:val="both"/>
              <w:rPr>
                <w:rFonts w:eastAsia="Calibri"/>
                <w:sz w:val="24"/>
                <w:szCs w:val="24"/>
              </w:rPr>
            </w:pPr>
            <w:r>
              <w:rPr>
                <w:rFonts w:eastAsia="Calibri"/>
                <w:sz w:val="24"/>
                <w:szCs w:val="24"/>
              </w:rPr>
              <w:t xml:space="preserve">OKA tarafından yürütülmekte olan 2021 yılı Bütçe Dönemi için Güdümlü Proje Destekleri Programına Tokat İl Özel İdaresi olarak Pazar İlçesinde uygulanacak olan “Akdağ’ın Zirvesinden Kazova’ya Kırsal Turizm Rotası Projesi”nin sunulması talebine ilişkin </w:t>
            </w:r>
            <w:r>
              <w:rPr>
                <w:rFonts w:eastAsia="Calibri"/>
                <w:b/>
                <w:sz w:val="24"/>
                <w:szCs w:val="24"/>
              </w:rPr>
              <w:t xml:space="preserve">Plan ve Bütçe Komisyonu, </w:t>
            </w:r>
            <w:r w:rsidR="00BF2154">
              <w:rPr>
                <w:rFonts w:eastAsia="Calibri"/>
                <w:b/>
                <w:sz w:val="24"/>
                <w:szCs w:val="24"/>
              </w:rPr>
              <w:t xml:space="preserve">Turizm ve Gençlik Spor Komisyonu ile Kentsel Yenileme ve Proje Takip Komisyonu (müşterek) raporunun </w:t>
            </w:r>
            <w:r w:rsidR="00BF2154">
              <w:rPr>
                <w:rFonts w:eastAsia="Calibri"/>
                <w:sz w:val="24"/>
                <w:szCs w:val="24"/>
              </w:rPr>
              <w:t>görüşülerek konunun karara bağlanması.</w:t>
            </w:r>
          </w:p>
          <w:p w:rsidR="00BF2154" w:rsidRPr="00BF2154" w:rsidRDefault="00BF2154" w:rsidP="00B00C27">
            <w:pPr>
              <w:pStyle w:val="AralkYok"/>
              <w:jc w:val="both"/>
              <w:rPr>
                <w:rFonts w:eastAsia="Calibri"/>
                <w:sz w:val="24"/>
                <w:szCs w:val="24"/>
              </w:rPr>
            </w:pPr>
          </w:p>
        </w:tc>
        <w:tc>
          <w:tcPr>
            <w:tcW w:w="3544" w:type="dxa"/>
            <w:tcBorders>
              <w:top w:val="single" w:sz="6" w:space="0" w:color="auto"/>
              <w:left w:val="single" w:sz="6" w:space="0" w:color="auto"/>
              <w:bottom w:val="single" w:sz="6" w:space="0" w:color="auto"/>
              <w:right w:val="double" w:sz="4" w:space="0" w:color="auto"/>
            </w:tcBorders>
          </w:tcPr>
          <w:p w:rsidR="00B00C27" w:rsidRDefault="00B00C27" w:rsidP="00B00C27">
            <w:pPr>
              <w:spacing w:line="276" w:lineRule="auto"/>
              <w:rPr>
                <w:sz w:val="24"/>
                <w:szCs w:val="24"/>
                <w:lang w:eastAsia="en-US"/>
              </w:rPr>
            </w:pPr>
          </w:p>
        </w:tc>
      </w:tr>
    </w:tbl>
    <w:p w:rsidR="004E52A8" w:rsidRDefault="004E52A8" w:rsidP="004E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7088"/>
        <w:gridCol w:w="3544"/>
      </w:tblGrid>
      <w:tr w:rsidR="00292529" w:rsidRPr="00050B37" w:rsidTr="00A50CBC">
        <w:trPr>
          <w:trHeight w:val="570"/>
        </w:trPr>
        <w:tc>
          <w:tcPr>
            <w:tcW w:w="11057" w:type="dxa"/>
            <w:gridSpan w:val="3"/>
            <w:shd w:val="pct20" w:color="auto" w:fill="FFFFFF"/>
          </w:tcPr>
          <w:p w:rsidR="00292529" w:rsidRDefault="00292529"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292529" w:rsidRDefault="00292529"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292529" w:rsidRDefault="00292529"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292529" w:rsidRDefault="00292529"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292529" w:rsidRDefault="00292529"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10.TOPLANTI</w:t>
            </w:r>
          </w:p>
          <w:p w:rsidR="00292529" w:rsidRDefault="00292529"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292529" w:rsidRPr="00050B37" w:rsidRDefault="00292529" w:rsidP="00B43311">
            <w:pPr>
              <w:pStyle w:val="AralkYok"/>
              <w:rPr>
                <w:rFonts w:ascii="Arial Black" w:hAnsi="Arial Black"/>
                <w:sz w:val="24"/>
                <w:szCs w:val="24"/>
              </w:rPr>
            </w:pPr>
            <w:r>
              <w:rPr>
                <w:rFonts w:ascii="Arial Black" w:hAnsi="Arial Black"/>
                <w:sz w:val="24"/>
                <w:szCs w:val="24"/>
                <w:lang w:eastAsia="en-US"/>
              </w:rPr>
              <w:t xml:space="preserve">                                                     01/12/2020 – 14.00                                      </w:t>
            </w:r>
            <w:r>
              <w:rPr>
                <w:rFonts w:ascii="Tahoma" w:hAnsi="Tahoma"/>
                <w:sz w:val="24"/>
                <w:szCs w:val="24"/>
                <w:lang w:eastAsia="en-US"/>
              </w:rPr>
              <w:t xml:space="preserve">       </w:t>
            </w:r>
          </w:p>
        </w:tc>
      </w:tr>
      <w:tr w:rsidR="00292529" w:rsidRPr="009220F9" w:rsidTr="00A50CBC">
        <w:trPr>
          <w:cantSplit/>
          <w:trHeight w:val="424"/>
        </w:trPr>
        <w:tc>
          <w:tcPr>
            <w:tcW w:w="11057" w:type="dxa"/>
            <w:gridSpan w:val="3"/>
            <w:shd w:val="pct20" w:color="auto" w:fill="FFFFFF"/>
          </w:tcPr>
          <w:p w:rsidR="00292529" w:rsidRPr="009220F9" w:rsidRDefault="00292529" w:rsidP="00B43311">
            <w:pPr>
              <w:pStyle w:val="Balk6"/>
              <w:spacing w:before="120" w:after="120"/>
              <w:rPr>
                <w:rFonts w:ascii="Tahoma" w:hAnsi="Tahoma"/>
                <w:szCs w:val="24"/>
              </w:rPr>
            </w:pPr>
            <w:r w:rsidRPr="009220F9">
              <w:rPr>
                <w:rFonts w:ascii="Tahoma" w:hAnsi="Tahoma"/>
                <w:szCs w:val="24"/>
              </w:rPr>
              <w:t>GÜNDEM</w:t>
            </w:r>
          </w:p>
        </w:tc>
      </w:tr>
      <w:tr w:rsidR="00292529" w:rsidRPr="009220F9" w:rsidTr="00A50CBC">
        <w:trPr>
          <w:trHeight w:val="300"/>
        </w:trPr>
        <w:tc>
          <w:tcPr>
            <w:tcW w:w="425" w:type="dxa"/>
            <w:vAlign w:val="center"/>
          </w:tcPr>
          <w:p w:rsidR="00292529" w:rsidRPr="009220F9" w:rsidRDefault="00292529" w:rsidP="00B43311">
            <w:pPr>
              <w:ind w:right="-176"/>
              <w:rPr>
                <w:rFonts w:ascii="Tahoma" w:hAnsi="Tahoma"/>
                <w:b/>
                <w:sz w:val="24"/>
                <w:szCs w:val="24"/>
              </w:rPr>
            </w:pPr>
            <w:r w:rsidRPr="009220F9">
              <w:rPr>
                <w:rFonts w:ascii="Tahoma" w:hAnsi="Tahoma"/>
                <w:b/>
                <w:sz w:val="24"/>
                <w:szCs w:val="24"/>
              </w:rPr>
              <w:t>S.</w:t>
            </w:r>
          </w:p>
          <w:p w:rsidR="00292529" w:rsidRPr="009220F9" w:rsidRDefault="00292529" w:rsidP="00B43311">
            <w:pPr>
              <w:ind w:right="-176"/>
              <w:rPr>
                <w:rFonts w:ascii="Tahoma" w:hAnsi="Tahoma"/>
                <w:b/>
                <w:sz w:val="24"/>
                <w:szCs w:val="24"/>
              </w:rPr>
            </w:pPr>
            <w:r w:rsidRPr="009220F9">
              <w:rPr>
                <w:rFonts w:ascii="Tahoma" w:hAnsi="Tahoma"/>
                <w:b/>
                <w:sz w:val="24"/>
                <w:szCs w:val="24"/>
              </w:rPr>
              <w:t>No</w:t>
            </w:r>
          </w:p>
        </w:tc>
        <w:tc>
          <w:tcPr>
            <w:tcW w:w="7088" w:type="dxa"/>
            <w:vAlign w:val="center"/>
          </w:tcPr>
          <w:p w:rsidR="00292529" w:rsidRPr="009220F9" w:rsidRDefault="00292529" w:rsidP="00B43311">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292529" w:rsidRPr="009220F9" w:rsidRDefault="00292529" w:rsidP="00B43311">
            <w:pPr>
              <w:pStyle w:val="Balk7"/>
              <w:spacing w:before="120"/>
              <w:ind w:right="-176"/>
              <w:rPr>
                <w:rFonts w:ascii="Tahoma" w:hAnsi="Tahoma"/>
                <w:sz w:val="24"/>
                <w:szCs w:val="24"/>
              </w:rPr>
            </w:pPr>
            <w:r w:rsidRPr="009220F9">
              <w:rPr>
                <w:rFonts w:ascii="Tahoma" w:hAnsi="Tahoma"/>
                <w:sz w:val="24"/>
                <w:szCs w:val="24"/>
              </w:rPr>
              <w:t>KARAR ÖZETİ</w:t>
            </w:r>
          </w:p>
        </w:tc>
      </w:tr>
      <w:tr w:rsidR="00292529"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hideMark/>
          </w:tcPr>
          <w:p w:rsidR="00292529" w:rsidRDefault="00292529" w:rsidP="00B43311">
            <w:pPr>
              <w:spacing w:line="276" w:lineRule="auto"/>
              <w:jc w:val="both"/>
              <w:rPr>
                <w:b/>
                <w:sz w:val="24"/>
                <w:szCs w:val="24"/>
                <w:lang w:eastAsia="en-US"/>
              </w:rPr>
            </w:pPr>
            <w:r>
              <w:rPr>
                <w:b/>
                <w:sz w:val="24"/>
                <w:szCs w:val="24"/>
                <w:lang w:eastAsia="en-US"/>
              </w:rPr>
              <w:t xml:space="preserve"> 8</w:t>
            </w:r>
          </w:p>
        </w:tc>
        <w:tc>
          <w:tcPr>
            <w:tcW w:w="7088" w:type="dxa"/>
            <w:tcBorders>
              <w:top w:val="single" w:sz="6" w:space="0" w:color="auto"/>
              <w:left w:val="single" w:sz="6" w:space="0" w:color="auto"/>
              <w:bottom w:val="single" w:sz="6" w:space="0" w:color="auto"/>
              <w:right w:val="single" w:sz="6" w:space="0" w:color="auto"/>
            </w:tcBorders>
            <w:vAlign w:val="center"/>
          </w:tcPr>
          <w:p w:rsidR="00292529" w:rsidRPr="00292529" w:rsidRDefault="00292529" w:rsidP="00B43311">
            <w:pPr>
              <w:pStyle w:val="AralkYok"/>
              <w:jc w:val="both"/>
              <w:rPr>
                <w:sz w:val="24"/>
                <w:szCs w:val="24"/>
                <w:lang w:eastAsia="en-US"/>
              </w:rPr>
            </w:pPr>
            <w:r>
              <w:rPr>
                <w:rFonts w:eastAsia="Calibri"/>
                <w:sz w:val="24"/>
                <w:szCs w:val="24"/>
              </w:rPr>
              <w:t>Niksar Organize Sanayi Bölgesi Yönetim Kurulu Başkanlığının Salim AKÇA ve Ömer ÇAVUŞOĞLU’nun maaş alacağı ve tazminatları ile  ilgili ödeme talebine i</w:t>
            </w:r>
            <w:r>
              <w:rPr>
                <w:bCs/>
                <w:sz w:val="24"/>
                <w:szCs w:val="24"/>
              </w:rPr>
              <w:t xml:space="preserve">lişkin </w:t>
            </w:r>
            <w:r>
              <w:rPr>
                <w:b/>
                <w:sz w:val="24"/>
                <w:szCs w:val="24"/>
                <w:lang w:eastAsia="en-US"/>
              </w:rPr>
              <w:t xml:space="preserve"> Plan ve Bütçe Komisyonu ile Şirketler ve İştirakler Komisyonu (müşterek) raporunun </w:t>
            </w:r>
            <w:r>
              <w:rPr>
                <w:sz w:val="24"/>
                <w:szCs w:val="24"/>
                <w:lang w:eastAsia="en-US"/>
              </w:rPr>
              <w:t>görüşülerek konunun karara bağlanması.</w:t>
            </w:r>
          </w:p>
          <w:p w:rsidR="00292529" w:rsidRPr="00A50CBC" w:rsidRDefault="00292529" w:rsidP="00B43311">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292529" w:rsidRDefault="00292529" w:rsidP="00B43311">
            <w:pPr>
              <w:spacing w:line="276" w:lineRule="auto"/>
              <w:rPr>
                <w:sz w:val="24"/>
                <w:szCs w:val="24"/>
                <w:lang w:eastAsia="en-US"/>
              </w:rPr>
            </w:pPr>
          </w:p>
        </w:tc>
      </w:tr>
      <w:tr w:rsidR="00292529"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292529" w:rsidRDefault="00CB2D56" w:rsidP="00B43311">
            <w:pPr>
              <w:spacing w:line="276" w:lineRule="auto"/>
              <w:jc w:val="both"/>
              <w:rPr>
                <w:b/>
                <w:sz w:val="24"/>
                <w:szCs w:val="24"/>
                <w:lang w:eastAsia="en-US"/>
              </w:rPr>
            </w:pPr>
            <w:r>
              <w:rPr>
                <w:b/>
                <w:sz w:val="24"/>
                <w:szCs w:val="24"/>
                <w:lang w:eastAsia="en-US"/>
              </w:rPr>
              <w:t xml:space="preserve"> 9</w:t>
            </w:r>
          </w:p>
        </w:tc>
        <w:tc>
          <w:tcPr>
            <w:tcW w:w="7088" w:type="dxa"/>
            <w:tcBorders>
              <w:top w:val="single" w:sz="6" w:space="0" w:color="auto"/>
              <w:left w:val="single" w:sz="6" w:space="0" w:color="auto"/>
              <w:bottom w:val="single" w:sz="6" w:space="0" w:color="auto"/>
              <w:right w:val="single" w:sz="6" w:space="0" w:color="auto"/>
            </w:tcBorders>
            <w:vAlign w:val="center"/>
          </w:tcPr>
          <w:p w:rsidR="00292529" w:rsidRDefault="00AA165C" w:rsidP="00B43311">
            <w:pPr>
              <w:pStyle w:val="AralkYok"/>
              <w:jc w:val="both"/>
              <w:rPr>
                <w:sz w:val="24"/>
                <w:szCs w:val="24"/>
                <w:lang w:eastAsia="en-US"/>
              </w:rPr>
            </w:pPr>
            <w:r>
              <w:rPr>
                <w:sz w:val="24"/>
                <w:szCs w:val="24"/>
                <w:lang w:eastAsia="en-US"/>
              </w:rPr>
              <w:t xml:space="preserve">Pazar İlçesi Doğançalı Köyü kanalizasyon hattının sahadan uzaklaştırılarak fosseptik, doğal arıtma ve deşarj hattı yapılması talebine ilişkin </w:t>
            </w:r>
            <w:r>
              <w:rPr>
                <w:b/>
                <w:sz w:val="24"/>
                <w:szCs w:val="24"/>
                <w:lang w:eastAsia="en-US"/>
              </w:rPr>
              <w:t xml:space="preserve">Plan ve Bütçe Komisyonu, Köy İşleri Komisyonu ile Çevre ve Sağlık Komisyonu (müşterek) raporunun </w:t>
            </w:r>
            <w:r>
              <w:rPr>
                <w:sz w:val="24"/>
                <w:szCs w:val="24"/>
                <w:lang w:eastAsia="en-US"/>
              </w:rPr>
              <w:t>görüşülerek konunun karara bağlanması.</w:t>
            </w:r>
          </w:p>
          <w:p w:rsidR="00AA165C" w:rsidRPr="00A50CBC" w:rsidRDefault="00AA165C" w:rsidP="00B43311">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292529" w:rsidRDefault="00292529" w:rsidP="00B43311">
            <w:pPr>
              <w:spacing w:line="276" w:lineRule="auto"/>
              <w:rPr>
                <w:sz w:val="24"/>
                <w:szCs w:val="24"/>
                <w:lang w:eastAsia="en-US"/>
              </w:rPr>
            </w:pPr>
          </w:p>
        </w:tc>
      </w:tr>
      <w:tr w:rsidR="00B75F1E"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B75F1E" w:rsidRDefault="00B75F1E" w:rsidP="00B43311">
            <w:pPr>
              <w:spacing w:line="276" w:lineRule="auto"/>
              <w:jc w:val="both"/>
              <w:rPr>
                <w:b/>
                <w:sz w:val="24"/>
                <w:szCs w:val="24"/>
                <w:lang w:eastAsia="en-US"/>
              </w:rPr>
            </w:pPr>
            <w:r>
              <w:rPr>
                <w:b/>
                <w:sz w:val="24"/>
                <w:szCs w:val="24"/>
                <w:lang w:eastAsia="en-US"/>
              </w:rPr>
              <w:t>10</w:t>
            </w:r>
          </w:p>
        </w:tc>
        <w:tc>
          <w:tcPr>
            <w:tcW w:w="7088" w:type="dxa"/>
            <w:tcBorders>
              <w:top w:val="single" w:sz="6" w:space="0" w:color="auto"/>
              <w:left w:val="single" w:sz="6" w:space="0" w:color="auto"/>
              <w:bottom w:val="single" w:sz="6" w:space="0" w:color="auto"/>
              <w:right w:val="single" w:sz="6" w:space="0" w:color="auto"/>
            </w:tcBorders>
            <w:vAlign w:val="center"/>
          </w:tcPr>
          <w:p w:rsidR="00B75F1E" w:rsidRPr="00B75F1E" w:rsidRDefault="00B75F1E" w:rsidP="00B43311">
            <w:pPr>
              <w:pStyle w:val="AralkYok"/>
              <w:jc w:val="both"/>
              <w:rPr>
                <w:sz w:val="24"/>
                <w:szCs w:val="24"/>
                <w:lang w:eastAsia="en-US"/>
              </w:rPr>
            </w:pPr>
            <w:r>
              <w:rPr>
                <w:sz w:val="24"/>
                <w:szCs w:val="24"/>
                <w:lang w:eastAsia="en-US"/>
              </w:rPr>
              <w:t xml:space="preserve">İdaremize ait Çayören ve Semerci’de bulunan RES’lerin 1 Ocak 2021 tarihinden itibaren yapılacak olan, bakım onarım sözleşmeleri ile ilgili olarak; LEITNER Teleferik Sistemleri Ltd. Şti ve ENERCON Rüzgar Enerji Santrali Kurulum Hizmetleri  Ltd. Şti.’nin, çok yıllık sözleşme tekliflerine ilişkin </w:t>
            </w:r>
            <w:r>
              <w:rPr>
                <w:b/>
                <w:sz w:val="24"/>
                <w:szCs w:val="24"/>
                <w:lang w:eastAsia="en-US"/>
              </w:rPr>
              <w:t xml:space="preserve">Plan ve Bütçe Komisyonu ile Sanayi, Ticaret ve Enerji Komisyonu (müşterek) raporunun </w:t>
            </w:r>
            <w:r>
              <w:rPr>
                <w:sz w:val="24"/>
                <w:szCs w:val="24"/>
                <w:lang w:eastAsia="en-US"/>
              </w:rPr>
              <w:t>görüşülerek konunun karara bağlanması.</w:t>
            </w:r>
          </w:p>
          <w:p w:rsidR="00B75F1E" w:rsidRPr="00A50CBC" w:rsidRDefault="00B75F1E" w:rsidP="00B43311">
            <w:pPr>
              <w:tabs>
                <w:tab w:val="num" w:pos="705"/>
              </w:tabs>
              <w:spacing w:line="276" w:lineRule="auto"/>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B75F1E" w:rsidRDefault="00B75F1E" w:rsidP="00B43311">
            <w:pPr>
              <w:spacing w:line="276" w:lineRule="auto"/>
              <w:rPr>
                <w:sz w:val="24"/>
                <w:szCs w:val="24"/>
                <w:lang w:eastAsia="en-US"/>
              </w:rPr>
            </w:pPr>
          </w:p>
        </w:tc>
      </w:tr>
      <w:tr w:rsidR="00B75F1E"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B75F1E" w:rsidRDefault="00B75F1E" w:rsidP="00B43311">
            <w:pPr>
              <w:spacing w:line="276" w:lineRule="auto"/>
              <w:jc w:val="both"/>
              <w:rPr>
                <w:b/>
                <w:sz w:val="24"/>
                <w:szCs w:val="24"/>
                <w:lang w:eastAsia="en-US"/>
              </w:rPr>
            </w:pPr>
            <w:r>
              <w:rPr>
                <w:b/>
                <w:sz w:val="24"/>
                <w:szCs w:val="24"/>
                <w:lang w:eastAsia="en-US"/>
              </w:rPr>
              <w:t>11</w:t>
            </w:r>
          </w:p>
        </w:tc>
        <w:tc>
          <w:tcPr>
            <w:tcW w:w="7088" w:type="dxa"/>
            <w:tcBorders>
              <w:top w:val="single" w:sz="6" w:space="0" w:color="auto"/>
              <w:left w:val="single" w:sz="6" w:space="0" w:color="auto"/>
              <w:bottom w:val="single" w:sz="6" w:space="0" w:color="auto"/>
              <w:right w:val="single" w:sz="6" w:space="0" w:color="auto"/>
            </w:tcBorders>
            <w:vAlign w:val="center"/>
          </w:tcPr>
          <w:p w:rsidR="00B75F1E" w:rsidRDefault="00B75F1E" w:rsidP="00B43311">
            <w:pPr>
              <w:pStyle w:val="AralkYok"/>
              <w:jc w:val="both"/>
              <w:rPr>
                <w:sz w:val="24"/>
                <w:szCs w:val="24"/>
                <w:lang w:eastAsia="en-US"/>
              </w:rPr>
            </w:pPr>
            <w:r>
              <w:rPr>
                <w:sz w:val="24"/>
                <w:szCs w:val="24"/>
                <w:lang w:eastAsia="en-US"/>
              </w:rPr>
              <w:t xml:space="preserve">Almus İlçesi Ormandibi Köyüne yapılması planlanan baraj konusunda son 6 yıldır yapılan su ölçümlerinin yeterli sonuç verip vermediği, çalışmanın hangi aşamada olduğunun araştırılarak meclisimize bilgi verilmesi talebine ilişkin </w:t>
            </w:r>
            <w:r>
              <w:rPr>
                <w:b/>
                <w:sz w:val="24"/>
                <w:szCs w:val="24"/>
                <w:lang w:eastAsia="en-US"/>
              </w:rPr>
              <w:t xml:space="preserve">Tarımsal Alt Yapı Hizmetleri ve Gıda, Tarım ve Hayvancılık Komisyonu (müşterek) raporunun </w:t>
            </w:r>
            <w:r>
              <w:rPr>
                <w:sz w:val="24"/>
                <w:szCs w:val="24"/>
                <w:lang w:eastAsia="en-US"/>
              </w:rPr>
              <w:t>görüşülerek konunun karara bağlanması.</w:t>
            </w:r>
          </w:p>
          <w:p w:rsidR="00B75F1E" w:rsidRPr="00A50CBC" w:rsidRDefault="00B75F1E" w:rsidP="00B43311">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B75F1E" w:rsidRDefault="00B75F1E" w:rsidP="00B43311">
            <w:pPr>
              <w:spacing w:line="276" w:lineRule="auto"/>
              <w:rPr>
                <w:sz w:val="24"/>
                <w:szCs w:val="24"/>
                <w:lang w:eastAsia="en-US"/>
              </w:rPr>
            </w:pPr>
          </w:p>
        </w:tc>
      </w:tr>
      <w:tr w:rsidR="00B75F1E"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B75F1E" w:rsidRDefault="00B75F1E" w:rsidP="00B43311">
            <w:pPr>
              <w:spacing w:line="276" w:lineRule="auto"/>
              <w:jc w:val="both"/>
              <w:rPr>
                <w:b/>
                <w:sz w:val="24"/>
                <w:szCs w:val="24"/>
                <w:lang w:eastAsia="en-US"/>
              </w:rPr>
            </w:pPr>
            <w:r>
              <w:rPr>
                <w:b/>
                <w:sz w:val="24"/>
                <w:szCs w:val="24"/>
                <w:lang w:eastAsia="en-US"/>
              </w:rPr>
              <w:t>12</w:t>
            </w:r>
          </w:p>
        </w:tc>
        <w:tc>
          <w:tcPr>
            <w:tcW w:w="7088" w:type="dxa"/>
            <w:tcBorders>
              <w:top w:val="single" w:sz="6" w:space="0" w:color="auto"/>
              <w:left w:val="single" w:sz="6" w:space="0" w:color="auto"/>
              <w:bottom w:val="single" w:sz="6" w:space="0" w:color="auto"/>
              <w:right w:val="single" w:sz="6" w:space="0" w:color="auto"/>
            </w:tcBorders>
            <w:vAlign w:val="center"/>
          </w:tcPr>
          <w:p w:rsidR="00B75F1E" w:rsidRDefault="00B75F1E" w:rsidP="00B43311">
            <w:pPr>
              <w:pStyle w:val="AralkYok"/>
              <w:jc w:val="both"/>
              <w:rPr>
                <w:sz w:val="24"/>
                <w:szCs w:val="24"/>
                <w:lang w:eastAsia="en-US"/>
              </w:rPr>
            </w:pPr>
            <w:r>
              <w:rPr>
                <w:sz w:val="24"/>
                <w:szCs w:val="24"/>
                <w:lang w:eastAsia="en-US"/>
              </w:rPr>
              <w:t xml:space="preserve">2020 yılı çalışma programında yer alıp ihalesi gerçekleştirilen ve 2021 yılına devreden yol yapım işlerinin araştırılarak meclisimizin bilgilendirilmesi talebine ilişkin </w:t>
            </w:r>
            <w:r>
              <w:rPr>
                <w:b/>
                <w:sz w:val="24"/>
                <w:szCs w:val="24"/>
                <w:lang w:eastAsia="en-US"/>
              </w:rPr>
              <w:t xml:space="preserve">Yol ve Ulaşım Hizmetleri Komisyonu raporunun </w:t>
            </w:r>
            <w:r>
              <w:rPr>
                <w:sz w:val="24"/>
                <w:szCs w:val="24"/>
                <w:lang w:eastAsia="en-US"/>
              </w:rPr>
              <w:t>görüşülerek konunun karara bağlanması.</w:t>
            </w:r>
          </w:p>
          <w:p w:rsidR="00B75F1E" w:rsidRPr="00A50CBC" w:rsidRDefault="00B75F1E" w:rsidP="00B43311">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B75F1E" w:rsidRDefault="00B75F1E" w:rsidP="00B43311">
            <w:pPr>
              <w:spacing w:line="276" w:lineRule="auto"/>
              <w:rPr>
                <w:sz w:val="24"/>
                <w:szCs w:val="24"/>
                <w:lang w:eastAsia="en-US"/>
              </w:rPr>
            </w:pPr>
          </w:p>
        </w:tc>
      </w:tr>
      <w:tr w:rsidR="00A50CBC"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A50CBC" w:rsidRDefault="00A50CBC" w:rsidP="00B43311">
            <w:pPr>
              <w:spacing w:line="276" w:lineRule="auto"/>
              <w:jc w:val="both"/>
              <w:rPr>
                <w:b/>
                <w:sz w:val="24"/>
                <w:szCs w:val="24"/>
                <w:lang w:eastAsia="en-US"/>
              </w:rPr>
            </w:pPr>
            <w:r>
              <w:rPr>
                <w:b/>
                <w:sz w:val="24"/>
                <w:szCs w:val="24"/>
                <w:lang w:eastAsia="en-US"/>
              </w:rPr>
              <w:t>13</w:t>
            </w:r>
          </w:p>
        </w:tc>
        <w:tc>
          <w:tcPr>
            <w:tcW w:w="7088" w:type="dxa"/>
            <w:tcBorders>
              <w:top w:val="single" w:sz="6" w:space="0" w:color="auto"/>
              <w:left w:val="single" w:sz="6" w:space="0" w:color="auto"/>
              <w:bottom w:val="single" w:sz="6" w:space="0" w:color="auto"/>
              <w:right w:val="single" w:sz="6" w:space="0" w:color="auto"/>
            </w:tcBorders>
            <w:vAlign w:val="center"/>
          </w:tcPr>
          <w:p w:rsidR="00A50CBC" w:rsidRDefault="00A50CBC" w:rsidP="00B43311">
            <w:pPr>
              <w:pStyle w:val="AralkYok"/>
              <w:jc w:val="both"/>
              <w:rPr>
                <w:sz w:val="24"/>
                <w:szCs w:val="24"/>
                <w:lang w:eastAsia="en-US"/>
              </w:rPr>
            </w:pPr>
            <w:r>
              <w:rPr>
                <w:sz w:val="24"/>
                <w:szCs w:val="24"/>
                <w:lang w:eastAsia="en-US"/>
              </w:rPr>
              <w:t xml:space="preserve">2020 yılı içerisinde İlimizde bulunan konaklama sektörünün Covid-19 salgınından nasıl etkilendiği ve doluluk oranlarının araştırılarak meclisimizin bilgilendirilmesi talebine ilişkin </w:t>
            </w:r>
            <w:r>
              <w:rPr>
                <w:b/>
                <w:sz w:val="24"/>
                <w:szCs w:val="24"/>
                <w:lang w:eastAsia="en-US"/>
              </w:rPr>
              <w:t xml:space="preserve">Turizm ve Gençlik Spor Komisyonu raporunun </w:t>
            </w:r>
            <w:r>
              <w:rPr>
                <w:sz w:val="24"/>
                <w:szCs w:val="24"/>
                <w:lang w:eastAsia="en-US"/>
              </w:rPr>
              <w:t>görüşülerek konunun karara bağlanması.</w:t>
            </w:r>
          </w:p>
          <w:p w:rsidR="00A50CBC" w:rsidRPr="00A50CBC" w:rsidRDefault="00A50CBC" w:rsidP="00B43311">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A50CBC" w:rsidRDefault="00A50CBC" w:rsidP="00B43311">
            <w:pPr>
              <w:spacing w:line="276" w:lineRule="auto"/>
              <w:rPr>
                <w:sz w:val="24"/>
                <w:szCs w:val="24"/>
                <w:lang w:eastAsia="en-US"/>
              </w:rPr>
            </w:pPr>
          </w:p>
        </w:tc>
      </w:tr>
      <w:tr w:rsidR="00A50CBC"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hideMark/>
          </w:tcPr>
          <w:p w:rsidR="00A50CBC" w:rsidRDefault="00A50CBC" w:rsidP="00B43311">
            <w:pPr>
              <w:spacing w:line="276" w:lineRule="auto"/>
              <w:jc w:val="both"/>
              <w:rPr>
                <w:b/>
                <w:sz w:val="24"/>
                <w:szCs w:val="24"/>
                <w:lang w:eastAsia="en-US"/>
              </w:rPr>
            </w:pPr>
            <w:r>
              <w:rPr>
                <w:b/>
                <w:sz w:val="24"/>
                <w:szCs w:val="24"/>
                <w:lang w:eastAsia="en-US"/>
              </w:rPr>
              <w:t>14</w:t>
            </w:r>
          </w:p>
        </w:tc>
        <w:tc>
          <w:tcPr>
            <w:tcW w:w="7088" w:type="dxa"/>
            <w:tcBorders>
              <w:top w:val="single" w:sz="6" w:space="0" w:color="auto"/>
              <w:left w:val="single" w:sz="6" w:space="0" w:color="auto"/>
              <w:bottom w:val="single" w:sz="6" w:space="0" w:color="auto"/>
              <w:right w:val="single" w:sz="6" w:space="0" w:color="auto"/>
            </w:tcBorders>
            <w:vAlign w:val="center"/>
          </w:tcPr>
          <w:p w:rsidR="00A50CBC" w:rsidRDefault="00A50CBC" w:rsidP="00A50CBC">
            <w:pPr>
              <w:pStyle w:val="AralkYok"/>
              <w:jc w:val="both"/>
              <w:rPr>
                <w:sz w:val="24"/>
                <w:szCs w:val="24"/>
                <w:lang w:eastAsia="en-US"/>
              </w:rPr>
            </w:pPr>
            <w:r>
              <w:rPr>
                <w:sz w:val="24"/>
                <w:szCs w:val="24"/>
                <w:lang w:eastAsia="en-US"/>
              </w:rPr>
              <w:t xml:space="preserve">İdaremizin %2 oranında hissedarı bulunduğu Anavatan Timtaş A.Ş.’nde bulunan hisselerin tamamının satılması, ya da Şirketin hakim ortağının yasal mirasçısının Şirketteki hissemize belirlenen bedel üzerinden Tokat Yazması Turizm ve Otelcilik A.Ş.’ndeki hisseleri ile takas talebine ilişkin </w:t>
            </w:r>
            <w:r>
              <w:rPr>
                <w:b/>
                <w:sz w:val="24"/>
                <w:szCs w:val="24"/>
                <w:lang w:eastAsia="en-US"/>
              </w:rPr>
              <w:t xml:space="preserve">Plan ve Bütçe Komisyonu ile Şirketler ve İştirakler Komisyonu (müşterek) raporunun </w:t>
            </w:r>
            <w:r>
              <w:rPr>
                <w:sz w:val="24"/>
                <w:szCs w:val="24"/>
                <w:lang w:eastAsia="en-US"/>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A50CBC" w:rsidRDefault="00A50CBC" w:rsidP="00B43311">
            <w:pPr>
              <w:spacing w:line="276" w:lineRule="auto"/>
              <w:rPr>
                <w:sz w:val="24"/>
                <w:szCs w:val="24"/>
                <w:lang w:eastAsia="en-US"/>
              </w:rPr>
            </w:pPr>
          </w:p>
        </w:tc>
      </w:tr>
      <w:tr w:rsidR="00A50CBC" w:rsidRPr="00050B37" w:rsidTr="00B43311">
        <w:trPr>
          <w:trHeight w:val="570"/>
        </w:trPr>
        <w:tc>
          <w:tcPr>
            <w:tcW w:w="11057" w:type="dxa"/>
            <w:gridSpan w:val="3"/>
            <w:shd w:val="pct20" w:color="auto" w:fill="FFFFFF"/>
          </w:tcPr>
          <w:p w:rsidR="00A50CBC" w:rsidRDefault="00A50CBC"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A50CBC" w:rsidRDefault="00A50CBC"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A50CBC" w:rsidRDefault="00A50CBC"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A50CBC" w:rsidRDefault="00A50CBC"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A50CBC" w:rsidRDefault="00A50CBC"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23/2.DÖNEM 10.TOPLANTI</w:t>
            </w:r>
          </w:p>
          <w:p w:rsidR="00A50CBC" w:rsidRDefault="00A50CBC" w:rsidP="00B4331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A50CBC" w:rsidRPr="00050B37" w:rsidRDefault="00A50CBC" w:rsidP="00B43311">
            <w:pPr>
              <w:pStyle w:val="AralkYok"/>
              <w:rPr>
                <w:rFonts w:ascii="Arial Black" w:hAnsi="Arial Black"/>
                <w:sz w:val="24"/>
                <w:szCs w:val="24"/>
              </w:rPr>
            </w:pPr>
            <w:r>
              <w:rPr>
                <w:rFonts w:ascii="Arial Black" w:hAnsi="Arial Black"/>
                <w:sz w:val="24"/>
                <w:szCs w:val="24"/>
                <w:lang w:eastAsia="en-US"/>
              </w:rPr>
              <w:t xml:space="preserve">                                                     01/12/2020 – 14.00                                      </w:t>
            </w:r>
            <w:r>
              <w:rPr>
                <w:rFonts w:ascii="Tahoma" w:hAnsi="Tahoma"/>
                <w:sz w:val="24"/>
                <w:szCs w:val="24"/>
                <w:lang w:eastAsia="en-US"/>
              </w:rPr>
              <w:t xml:space="preserve">       </w:t>
            </w:r>
          </w:p>
        </w:tc>
      </w:tr>
      <w:tr w:rsidR="00A50CBC" w:rsidRPr="009220F9" w:rsidTr="00B43311">
        <w:trPr>
          <w:cantSplit/>
          <w:trHeight w:val="424"/>
        </w:trPr>
        <w:tc>
          <w:tcPr>
            <w:tcW w:w="11057" w:type="dxa"/>
            <w:gridSpan w:val="3"/>
            <w:shd w:val="pct20" w:color="auto" w:fill="FFFFFF"/>
          </w:tcPr>
          <w:p w:rsidR="00A50CBC" w:rsidRPr="009220F9" w:rsidRDefault="00A50CBC" w:rsidP="00B43311">
            <w:pPr>
              <w:pStyle w:val="Balk6"/>
              <w:spacing w:before="120" w:after="120"/>
              <w:rPr>
                <w:rFonts w:ascii="Tahoma" w:hAnsi="Tahoma"/>
                <w:szCs w:val="24"/>
              </w:rPr>
            </w:pPr>
            <w:r w:rsidRPr="009220F9">
              <w:rPr>
                <w:rFonts w:ascii="Tahoma" w:hAnsi="Tahoma"/>
                <w:szCs w:val="24"/>
              </w:rPr>
              <w:t>GÜNDEM</w:t>
            </w:r>
          </w:p>
        </w:tc>
      </w:tr>
      <w:tr w:rsidR="00A50CBC" w:rsidRPr="009220F9" w:rsidTr="00B43311">
        <w:trPr>
          <w:trHeight w:val="300"/>
        </w:trPr>
        <w:tc>
          <w:tcPr>
            <w:tcW w:w="425" w:type="dxa"/>
            <w:vAlign w:val="center"/>
          </w:tcPr>
          <w:p w:rsidR="00A50CBC" w:rsidRPr="009220F9" w:rsidRDefault="00A50CBC" w:rsidP="00B43311">
            <w:pPr>
              <w:ind w:right="-176"/>
              <w:rPr>
                <w:rFonts w:ascii="Tahoma" w:hAnsi="Tahoma"/>
                <w:b/>
                <w:sz w:val="24"/>
                <w:szCs w:val="24"/>
              </w:rPr>
            </w:pPr>
            <w:r w:rsidRPr="009220F9">
              <w:rPr>
                <w:rFonts w:ascii="Tahoma" w:hAnsi="Tahoma"/>
                <w:b/>
                <w:sz w:val="24"/>
                <w:szCs w:val="24"/>
              </w:rPr>
              <w:t>S.</w:t>
            </w:r>
          </w:p>
          <w:p w:rsidR="00A50CBC" w:rsidRPr="009220F9" w:rsidRDefault="00A50CBC" w:rsidP="00B43311">
            <w:pPr>
              <w:ind w:right="-176"/>
              <w:rPr>
                <w:rFonts w:ascii="Tahoma" w:hAnsi="Tahoma"/>
                <w:b/>
                <w:sz w:val="24"/>
                <w:szCs w:val="24"/>
              </w:rPr>
            </w:pPr>
            <w:r w:rsidRPr="009220F9">
              <w:rPr>
                <w:rFonts w:ascii="Tahoma" w:hAnsi="Tahoma"/>
                <w:b/>
                <w:sz w:val="24"/>
                <w:szCs w:val="24"/>
              </w:rPr>
              <w:t>No</w:t>
            </w:r>
          </w:p>
        </w:tc>
        <w:tc>
          <w:tcPr>
            <w:tcW w:w="7088" w:type="dxa"/>
            <w:vAlign w:val="center"/>
          </w:tcPr>
          <w:p w:rsidR="00A50CBC" w:rsidRPr="009220F9" w:rsidRDefault="00A50CBC" w:rsidP="00B43311">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A50CBC" w:rsidRPr="009220F9" w:rsidRDefault="00A50CBC" w:rsidP="00B43311">
            <w:pPr>
              <w:pStyle w:val="Balk7"/>
              <w:spacing w:before="120"/>
              <w:ind w:right="-176"/>
              <w:rPr>
                <w:rFonts w:ascii="Tahoma" w:hAnsi="Tahoma"/>
                <w:sz w:val="24"/>
                <w:szCs w:val="24"/>
              </w:rPr>
            </w:pPr>
            <w:r w:rsidRPr="009220F9">
              <w:rPr>
                <w:rFonts w:ascii="Tahoma" w:hAnsi="Tahoma"/>
                <w:sz w:val="24"/>
                <w:szCs w:val="24"/>
              </w:rPr>
              <w:t>KARAR ÖZETİ</w:t>
            </w:r>
          </w:p>
        </w:tc>
      </w:tr>
      <w:tr w:rsidR="00A50CBC"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hideMark/>
          </w:tcPr>
          <w:p w:rsidR="00A50CBC" w:rsidRDefault="00A50CBC" w:rsidP="00B43311">
            <w:pPr>
              <w:spacing w:line="276" w:lineRule="auto"/>
              <w:jc w:val="both"/>
              <w:rPr>
                <w:b/>
                <w:sz w:val="24"/>
                <w:szCs w:val="24"/>
                <w:lang w:eastAsia="en-US"/>
              </w:rPr>
            </w:pPr>
            <w:r>
              <w:rPr>
                <w:b/>
                <w:sz w:val="24"/>
                <w:szCs w:val="24"/>
                <w:lang w:eastAsia="en-US"/>
              </w:rPr>
              <w:t>15</w:t>
            </w:r>
          </w:p>
        </w:tc>
        <w:tc>
          <w:tcPr>
            <w:tcW w:w="7088" w:type="dxa"/>
            <w:tcBorders>
              <w:top w:val="single" w:sz="6" w:space="0" w:color="auto"/>
              <w:left w:val="single" w:sz="6" w:space="0" w:color="auto"/>
              <w:bottom w:val="single" w:sz="6" w:space="0" w:color="auto"/>
              <w:right w:val="single" w:sz="6" w:space="0" w:color="auto"/>
            </w:tcBorders>
            <w:vAlign w:val="center"/>
          </w:tcPr>
          <w:p w:rsidR="00A50CBC" w:rsidRPr="00A50CBC" w:rsidRDefault="00A50CBC" w:rsidP="00B43311">
            <w:pPr>
              <w:pStyle w:val="AralkYok"/>
              <w:jc w:val="both"/>
              <w:rPr>
                <w:sz w:val="24"/>
                <w:szCs w:val="24"/>
                <w:lang w:eastAsia="en-US"/>
              </w:rPr>
            </w:pPr>
            <w:r>
              <w:rPr>
                <w:sz w:val="24"/>
                <w:szCs w:val="24"/>
                <w:lang w:eastAsia="en-US"/>
              </w:rPr>
              <w:t>Pazar İlçesi Dereköy Köyünde İdaremize ait 118 ada 15 No.lu parselde kayıtlı 7.776,48 m</w:t>
            </w:r>
            <w:r>
              <w:rPr>
                <w:sz w:val="24"/>
                <w:szCs w:val="24"/>
                <w:vertAlign w:val="superscript"/>
                <w:lang w:eastAsia="en-US"/>
              </w:rPr>
              <w:t>2</w:t>
            </w:r>
            <w:r>
              <w:rPr>
                <w:sz w:val="24"/>
                <w:szCs w:val="24"/>
                <w:lang w:eastAsia="en-US"/>
              </w:rPr>
              <w:t xml:space="preserve">  yüzölçümlü okul ve uygulama bahçesi vasıflı taşınmaza bitişik olan 118 ada 14 No.lu parselde kayıtlı taşınmazın malikleri imar çapına göre yola terk ve ihdas işlemlerini yapmak üzere 15 No.lu parselden ihdas edilmesi gereken 125,64 m</w:t>
            </w:r>
            <w:r>
              <w:rPr>
                <w:sz w:val="24"/>
                <w:szCs w:val="24"/>
                <w:vertAlign w:val="superscript"/>
                <w:lang w:eastAsia="en-US"/>
              </w:rPr>
              <w:t xml:space="preserve">2 </w:t>
            </w:r>
            <w:r>
              <w:rPr>
                <w:sz w:val="24"/>
                <w:szCs w:val="24"/>
                <w:lang w:eastAsia="en-US"/>
              </w:rPr>
              <w:t>lik kısmı ifraz ettirerek, karşılığında 14 No.lu parseldeki 65,64 m</w:t>
            </w:r>
            <w:r>
              <w:rPr>
                <w:sz w:val="24"/>
                <w:szCs w:val="24"/>
                <w:vertAlign w:val="superscript"/>
                <w:lang w:eastAsia="en-US"/>
              </w:rPr>
              <w:t xml:space="preserve">2 </w:t>
            </w:r>
            <w:r>
              <w:rPr>
                <w:sz w:val="24"/>
                <w:szCs w:val="24"/>
                <w:lang w:eastAsia="en-US"/>
              </w:rPr>
              <w:t xml:space="preserve">lik yola terk edilecek kısmın İdaremizle takas edilmesi taleplerine ilişkin </w:t>
            </w:r>
            <w:r>
              <w:rPr>
                <w:b/>
                <w:sz w:val="24"/>
                <w:szCs w:val="24"/>
                <w:lang w:eastAsia="en-US"/>
              </w:rPr>
              <w:t xml:space="preserve">Plan ve Bütçe Komisyonu ile İmar ve Bayındırlık Komisyonu (müşterek) raporunun </w:t>
            </w:r>
            <w:r>
              <w:rPr>
                <w:sz w:val="24"/>
                <w:szCs w:val="24"/>
                <w:lang w:eastAsia="en-US"/>
              </w:rPr>
              <w:t>görüşülerek konunun karara bağlanması.</w:t>
            </w:r>
          </w:p>
          <w:p w:rsidR="00A50CBC" w:rsidRDefault="00A50CBC" w:rsidP="00B43311">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A50CBC" w:rsidRDefault="00A50CBC" w:rsidP="00B43311">
            <w:pPr>
              <w:spacing w:line="276" w:lineRule="auto"/>
              <w:rPr>
                <w:sz w:val="24"/>
                <w:szCs w:val="24"/>
                <w:lang w:eastAsia="en-US"/>
              </w:rPr>
            </w:pPr>
          </w:p>
        </w:tc>
      </w:tr>
      <w:tr w:rsidR="00A50CBC"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hideMark/>
          </w:tcPr>
          <w:p w:rsidR="00A50CBC" w:rsidRDefault="00A50CBC" w:rsidP="00B43311">
            <w:pPr>
              <w:spacing w:line="276" w:lineRule="auto"/>
              <w:jc w:val="both"/>
              <w:rPr>
                <w:b/>
                <w:sz w:val="24"/>
                <w:szCs w:val="24"/>
                <w:lang w:eastAsia="en-US"/>
              </w:rPr>
            </w:pPr>
            <w:r>
              <w:rPr>
                <w:b/>
                <w:sz w:val="24"/>
                <w:szCs w:val="24"/>
                <w:lang w:eastAsia="en-US"/>
              </w:rPr>
              <w:t>16</w:t>
            </w:r>
          </w:p>
        </w:tc>
        <w:tc>
          <w:tcPr>
            <w:tcW w:w="7088" w:type="dxa"/>
            <w:tcBorders>
              <w:top w:val="single" w:sz="6" w:space="0" w:color="auto"/>
              <w:left w:val="single" w:sz="6" w:space="0" w:color="auto"/>
              <w:bottom w:val="single" w:sz="6" w:space="0" w:color="auto"/>
              <w:right w:val="single" w:sz="6" w:space="0" w:color="auto"/>
            </w:tcBorders>
            <w:vAlign w:val="center"/>
          </w:tcPr>
          <w:p w:rsidR="00A50CBC" w:rsidRPr="00A50CBC" w:rsidRDefault="00A50CBC" w:rsidP="00A50CBC">
            <w:pPr>
              <w:pStyle w:val="AralkYok"/>
              <w:jc w:val="both"/>
              <w:rPr>
                <w:sz w:val="24"/>
                <w:szCs w:val="24"/>
                <w:lang w:eastAsia="en-US"/>
              </w:rPr>
            </w:pPr>
            <w:r>
              <w:rPr>
                <w:sz w:val="24"/>
                <w:szCs w:val="24"/>
                <w:lang w:eastAsia="en-US"/>
              </w:rPr>
              <w:t>İlimiz Merkez Oğulbey Mahallesinde 593 ada 19 No.lu parselde kayıtlı 25.456,00 m</w:t>
            </w:r>
            <w:r>
              <w:rPr>
                <w:sz w:val="24"/>
                <w:szCs w:val="24"/>
                <w:vertAlign w:val="superscript"/>
                <w:lang w:eastAsia="en-US"/>
              </w:rPr>
              <w:t>2</w:t>
            </w:r>
            <w:r>
              <w:rPr>
                <w:sz w:val="24"/>
                <w:szCs w:val="24"/>
                <w:lang w:eastAsia="en-US"/>
              </w:rPr>
              <w:t xml:space="preserve"> yüzölçümlü arazi vasıflı, yapı kullanma izin belgesi bulunan Seyirtepe Sosyal Tesisinin bulunduğu taşınmazın satışına ilişkin </w:t>
            </w:r>
            <w:r>
              <w:rPr>
                <w:b/>
                <w:sz w:val="24"/>
                <w:szCs w:val="24"/>
                <w:lang w:eastAsia="en-US"/>
              </w:rPr>
              <w:t xml:space="preserve"> </w:t>
            </w:r>
            <w:r>
              <w:rPr>
                <w:b/>
                <w:sz w:val="24"/>
                <w:szCs w:val="24"/>
                <w:lang w:eastAsia="en-US"/>
              </w:rPr>
              <w:t xml:space="preserve">Plan ve Bütçe Komisyonu ile İmar ve Bayındırlık Komisyonu (müşterek) raporunun </w:t>
            </w:r>
            <w:r>
              <w:rPr>
                <w:sz w:val="24"/>
                <w:szCs w:val="24"/>
                <w:lang w:eastAsia="en-US"/>
              </w:rPr>
              <w:t>görüşülerek konunun karara bağlanması.</w:t>
            </w:r>
          </w:p>
          <w:p w:rsidR="00A50CBC" w:rsidRDefault="00A50CBC" w:rsidP="00B43311">
            <w:pPr>
              <w:tabs>
                <w:tab w:val="num" w:pos="705"/>
              </w:tabs>
              <w:spacing w:line="276" w:lineRule="auto"/>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A50CBC" w:rsidRDefault="00A50CBC" w:rsidP="00B43311">
            <w:pPr>
              <w:spacing w:line="276" w:lineRule="auto"/>
              <w:rPr>
                <w:sz w:val="24"/>
                <w:szCs w:val="24"/>
                <w:lang w:eastAsia="en-US"/>
              </w:rPr>
            </w:pPr>
          </w:p>
        </w:tc>
      </w:tr>
      <w:tr w:rsidR="00A50CBC"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A50CBC" w:rsidRDefault="00A50CBC" w:rsidP="00B43311">
            <w:pPr>
              <w:spacing w:line="276" w:lineRule="auto"/>
              <w:jc w:val="both"/>
              <w:rPr>
                <w:b/>
                <w:sz w:val="24"/>
                <w:szCs w:val="24"/>
                <w:lang w:eastAsia="en-US"/>
              </w:rPr>
            </w:pPr>
            <w:r>
              <w:rPr>
                <w:b/>
                <w:sz w:val="24"/>
                <w:szCs w:val="24"/>
                <w:lang w:eastAsia="en-US"/>
              </w:rPr>
              <w:t>17</w:t>
            </w:r>
          </w:p>
        </w:tc>
        <w:tc>
          <w:tcPr>
            <w:tcW w:w="7088" w:type="dxa"/>
            <w:tcBorders>
              <w:top w:val="single" w:sz="6" w:space="0" w:color="auto"/>
              <w:left w:val="single" w:sz="6" w:space="0" w:color="auto"/>
              <w:bottom w:val="single" w:sz="6" w:space="0" w:color="auto"/>
              <w:right w:val="single" w:sz="6" w:space="0" w:color="auto"/>
            </w:tcBorders>
            <w:vAlign w:val="center"/>
          </w:tcPr>
          <w:p w:rsidR="00A50CBC" w:rsidRDefault="00A50CBC" w:rsidP="00A653BD">
            <w:pPr>
              <w:pStyle w:val="AralkYok"/>
              <w:jc w:val="both"/>
              <w:rPr>
                <w:sz w:val="24"/>
                <w:szCs w:val="24"/>
              </w:rPr>
            </w:pPr>
            <w:r>
              <w:rPr>
                <w:sz w:val="24"/>
                <w:szCs w:val="24"/>
              </w:rPr>
              <w:t>G</w:t>
            </w:r>
            <w:r w:rsidRPr="00740379">
              <w:rPr>
                <w:sz w:val="24"/>
                <w:szCs w:val="24"/>
              </w:rPr>
              <w:t xml:space="preserve">eçtiğimiz yıllarda Tokat’ımıza milletimize memleketimize ve idaremize faydalı olması açısından ihtiyaç duyulan farklı alanlarda </w:t>
            </w:r>
            <w:r>
              <w:rPr>
                <w:sz w:val="24"/>
                <w:szCs w:val="24"/>
              </w:rPr>
              <w:t xml:space="preserve">alınan </w:t>
            </w:r>
            <w:r w:rsidRPr="00740379">
              <w:rPr>
                <w:sz w:val="24"/>
                <w:szCs w:val="24"/>
              </w:rPr>
              <w:t>sözleşmeli persone</w:t>
            </w:r>
            <w:r>
              <w:rPr>
                <w:sz w:val="24"/>
                <w:szCs w:val="24"/>
              </w:rPr>
              <w:t xml:space="preserve">llerin </w:t>
            </w:r>
            <w:r>
              <w:rPr>
                <w:sz w:val="24"/>
                <w:szCs w:val="24"/>
              </w:rPr>
              <w:t>a</w:t>
            </w:r>
            <w:r w:rsidRPr="00740379">
              <w:rPr>
                <w:sz w:val="24"/>
                <w:szCs w:val="24"/>
              </w:rPr>
              <w:t>lındığı günden bugüne kadar memleketimize, milletimize, Tokat’ımıza ve idaremize faydaları, katkıları ve görevleri</w:t>
            </w:r>
            <w:r>
              <w:rPr>
                <w:sz w:val="24"/>
                <w:szCs w:val="24"/>
              </w:rPr>
              <w:t xml:space="preserve"> </w:t>
            </w:r>
            <w:r w:rsidR="00A653BD">
              <w:rPr>
                <w:sz w:val="24"/>
                <w:szCs w:val="24"/>
              </w:rPr>
              <w:t xml:space="preserve">ile ilgili </w:t>
            </w:r>
            <w:r w:rsidRPr="00740379">
              <w:rPr>
                <w:sz w:val="24"/>
                <w:szCs w:val="24"/>
              </w:rPr>
              <w:t>meclisimizin bilgilendirilmesi talebine ilişkin</w:t>
            </w:r>
            <w:r w:rsidR="00A653BD">
              <w:rPr>
                <w:sz w:val="24"/>
                <w:szCs w:val="24"/>
              </w:rPr>
              <w:t xml:space="preserve"> </w:t>
            </w:r>
            <w:r w:rsidR="00A653BD">
              <w:rPr>
                <w:b/>
                <w:sz w:val="24"/>
                <w:szCs w:val="24"/>
              </w:rPr>
              <w:t xml:space="preserve">AR-GE Komisyonu raporunun </w:t>
            </w:r>
            <w:r w:rsidR="00A653BD">
              <w:rPr>
                <w:sz w:val="24"/>
                <w:szCs w:val="24"/>
              </w:rPr>
              <w:t>görüşülerek konunun karara bağlanması.</w:t>
            </w:r>
          </w:p>
          <w:p w:rsidR="00A653BD" w:rsidRPr="00A653BD" w:rsidRDefault="00A653BD" w:rsidP="00A653BD">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A50CBC" w:rsidRDefault="00A50CBC" w:rsidP="00B43311">
            <w:pPr>
              <w:spacing w:line="276" w:lineRule="auto"/>
              <w:rPr>
                <w:sz w:val="24"/>
                <w:szCs w:val="24"/>
                <w:lang w:eastAsia="en-US"/>
              </w:rPr>
            </w:pPr>
          </w:p>
        </w:tc>
      </w:tr>
      <w:tr w:rsidR="00A653BD"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A653BD" w:rsidRDefault="00A653BD" w:rsidP="00B43311">
            <w:pPr>
              <w:spacing w:line="276" w:lineRule="auto"/>
              <w:jc w:val="both"/>
              <w:rPr>
                <w:b/>
                <w:sz w:val="24"/>
                <w:szCs w:val="24"/>
                <w:lang w:eastAsia="en-US"/>
              </w:rPr>
            </w:pPr>
          </w:p>
        </w:tc>
        <w:tc>
          <w:tcPr>
            <w:tcW w:w="7088" w:type="dxa"/>
            <w:tcBorders>
              <w:top w:val="single" w:sz="6" w:space="0" w:color="auto"/>
              <w:left w:val="single" w:sz="6" w:space="0" w:color="auto"/>
              <w:bottom w:val="single" w:sz="6" w:space="0" w:color="auto"/>
              <w:right w:val="single" w:sz="6" w:space="0" w:color="auto"/>
            </w:tcBorders>
            <w:vAlign w:val="center"/>
          </w:tcPr>
          <w:p w:rsidR="00A653BD" w:rsidRDefault="00A653BD" w:rsidP="00A653BD">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A653BD" w:rsidRDefault="00A653BD" w:rsidP="00B43311">
            <w:pPr>
              <w:spacing w:line="276" w:lineRule="auto"/>
              <w:rPr>
                <w:sz w:val="24"/>
                <w:szCs w:val="24"/>
                <w:lang w:eastAsia="en-US"/>
              </w:rPr>
            </w:pPr>
          </w:p>
        </w:tc>
      </w:tr>
      <w:tr w:rsidR="00A653BD"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A653BD" w:rsidRDefault="00A653BD" w:rsidP="00B43311">
            <w:pPr>
              <w:spacing w:line="276" w:lineRule="auto"/>
              <w:jc w:val="both"/>
              <w:rPr>
                <w:b/>
                <w:sz w:val="24"/>
                <w:szCs w:val="24"/>
                <w:lang w:eastAsia="en-US"/>
              </w:rPr>
            </w:pPr>
          </w:p>
        </w:tc>
        <w:tc>
          <w:tcPr>
            <w:tcW w:w="7088" w:type="dxa"/>
            <w:tcBorders>
              <w:top w:val="single" w:sz="6" w:space="0" w:color="auto"/>
              <w:left w:val="single" w:sz="6" w:space="0" w:color="auto"/>
              <w:bottom w:val="single" w:sz="6" w:space="0" w:color="auto"/>
              <w:right w:val="single" w:sz="6" w:space="0" w:color="auto"/>
            </w:tcBorders>
            <w:vAlign w:val="center"/>
          </w:tcPr>
          <w:p w:rsidR="00A653BD" w:rsidRDefault="00A653BD" w:rsidP="00A653BD">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A653BD" w:rsidRDefault="00A653BD" w:rsidP="00B43311">
            <w:pPr>
              <w:spacing w:line="276" w:lineRule="auto"/>
              <w:rPr>
                <w:sz w:val="24"/>
                <w:szCs w:val="24"/>
                <w:lang w:eastAsia="en-US"/>
              </w:rPr>
            </w:pPr>
          </w:p>
        </w:tc>
      </w:tr>
      <w:tr w:rsidR="00A653BD"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A653BD" w:rsidRDefault="00A653BD" w:rsidP="00B43311">
            <w:pPr>
              <w:spacing w:line="276" w:lineRule="auto"/>
              <w:jc w:val="both"/>
              <w:rPr>
                <w:b/>
                <w:sz w:val="24"/>
                <w:szCs w:val="24"/>
                <w:lang w:eastAsia="en-US"/>
              </w:rPr>
            </w:pPr>
          </w:p>
        </w:tc>
        <w:tc>
          <w:tcPr>
            <w:tcW w:w="7088" w:type="dxa"/>
            <w:tcBorders>
              <w:top w:val="single" w:sz="6" w:space="0" w:color="auto"/>
              <w:left w:val="single" w:sz="6" w:space="0" w:color="auto"/>
              <w:bottom w:val="single" w:sz="6" w:space="0" w:color="auto"/>
              <w:right w:val="single" w:sz="6" w:space="0" w:color="auto"/>
            </w:tcBorders>
            <w:vAlign w:val="center"/>
          </w:tcPr>
          <w:p w:rsidR="00A653BD" w:rsidRDefault="00A653BD" w:rsidP="00A653BD">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A653BD" w:rsidRDefault="00A653BD" w:rsidP="00B43311">
            <w:pPr>
              <w:spacing w:line="276" w:lineRule="auto"/>
              <w:rPr>
                <w:sz w:val="24"/>
                <w:szCs w:val="24"/>
                <w:lang w:eastAsia="en-US"/>
              </w:rPr>
            </w:pPr>
          </w:p>
        </w:tc>
      </w:tr>
      <w:tr w:rsidR="00A653BD"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A653BD" w:rsidRDefault="00A653BD" w:rsidP="00B43311">
            <w:pPr>
              <w:spacing w:line="276" w:lineRule="auto"/>
              <w:jc w:val="both"/>
              <w:rPr>
                <w:b/>
                <w:sz w:val="24"/>
                <w:szCs w:val="24"/>
                <w:lang w:eastAsia="en-US"/>
              </w:rPr>
            </w:pPr>
          </w:p>
        </w:tc>
        <w:tc>
          <w:tcPr>
            <w:tcW w:w="7088" w:type="dxa"/>
            <w:tcBorders>
              <w:top w:val="single" w:sz="6" w:space="0" w:color="auto"/>
              <w:left w:val="single" w:sz="6" w:space="0" w:color="auto"/>
              <w:bottom w:val="single" w:sz="6" w:space="0" w:color="auto"/>
              <w:right w:val="single" w:sz="6" w:space="0" w:color="auto"/>
            </w:tcBorders>
            <w:vAlign w:val="center"/>
          </w:tcPr>
          <w:p w:rsidR="00A653BD" w:rsidRDefault="00A653BD" w:rsidP="00A653BD">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A653BD" w:rsidRDefault="00A653BD" w:rsidP="00B43311">
            <w:pPr>
              <w:spacing w:line="276" w:lineRule="auto"/>
              <w:rPr>
                <w:sz w:val="24"/>
                <w:szCs w:val="24"/>
                <w:lang w:eastAsia="en-US"/>
              </w:rPr>
            </w:pPr>
          </w:p>
        </w:tc>
      </w:tr>
      <w:tr w:rsidR="00A653BD" w:rsidTr="00A50CBC">
        <w:tblPrEx>
          <w:tblLook w:val="04A0" w:firstRow="1" w:lastRow="0" w:firstColumn="1" w:lastColumn="0" w:noHBand="0" w:noVBand="1"/>
        </w:tblPrEx>
        <w:trPr>
          <w:trHeight w:val="553"/>
        </w:trPr>
        <w:tc>
          <w:tcPr>
            <w:tcW w:w="425" w:type="dxa"/>
            <w:tcBorders>
              <w:top w:val="single" w:sz="6" w:space="0" w:color="auto"/>
              <w:left w:val="double" w:sz="4" w:space="0" w:color="auto"/>
              <w:bottom w:val="single" w:sz="6" w:space="0" w:color="auto"/>
              <w:right w:val="single" w:sz="6" w:space="0" w:color="auto"/>
            </w:tcBorders>
            <w:vAlign w:val="center"/>
          </w:tcPr>
          <w:p w:rsidR="00A653BD" w:rsidRDefault="00A653BD" w:rsidP="00B43311">
            <w:pPr>
              <w:spacing w:line="276" w:lineRule="auto"/>
              <w:jc w:val="both"/>
              <w:rPr>
                <w:b/>
                <w:sz w:val="24"/>
                <w:szCs w:val="24"/>
                <w:lang w:eastAsia="en-US"/>
              </w:rPr>
            </w:pPr>
          </w:p>
        </w:tc>
        <w:tc>
          <w:tcPr>
            <w:tcW w:w="7088" w:type="dxa"/>
            <w:tcBorders>
              <w:top w:val="single" w:sz="6" w:space="0" w:color="auto"/>
              <w:left w:val="single" w:sz="6" w:space="0" w:color="auto"/>
              <w:bottom w:val="single" w:sz="6" w:space="0" w:color="auto"/>
              <w:right w:val="single" w:sz="6" w:space="0" w:color="auto"/>
            </w:tcBorders>
            <w:vAlign w:val="center"/>
          </w:tcPr>
          <w:p w:rsidR="00A653BD" w:rsidRDefault="00A653BD" w:rsidP="00A653BD">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A653BD" w:rsidRDefault="00A653BD" w:rsidP="00B43311">
            <w:pPr>
              <w:spacing w:line="276" w:lineRule="auto"/>
              <w:rPr>
                <w:sz w:val="24"/>
                <w:szCs w:val="24"/>
                <w:lang w:eastAsia="en-US"/>
              </w:rPr>
            </w:pPr>
            <w:bookmarkStart w:id="0" w:name="_GoBack"/>
            <w:bookmarkEnd w:id="0"/>
          </w:p>
        </w:tc>
      </w:tr>
    </w:tbl>
    <w:p w:rsidR="00A50CBC" w:rsidRDefault="00A50CBC" w:rsidP="00A50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A653BD" w:rsidRDefault="00A653BD" w:rsidP="00A50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A653BD" w:rsidRDefault="00A653BD" w:rsidP="00A50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A50CBC" w:rsidRDefault="00A50CBC" w:rsidP="00A50CBC">
      <w:pPr>
        <w:pStyle w:val="bekMetni"/>
        <w:ind w:left="7080" w:firstLine="0"/>
        <w:rPr>
          <w:b/>
        </w:rPr>
      </w:pPr>
      <w:r>
        <w:rPr>
          <w:b/>
        </w:rPr>
        <w:t xml:space="preserve">    Av. Erol DUYUM</w:t>
      </w:r>
    </w:p>
    <w:p w:rsidR="008A5E0D" w:rsidRDefault="00A50CBC" w:rsidP="003206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İl Genel Meclis Başkanı</w:t>
      </w:r>
    </w:p>
    <w:sectPr w:rsidR="008A5E0D"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3B" w:rsidRDefault="0010223B" w:rsidP="009220F9">
      <w:r>
        <w:separator/>
      </w:r>
    </w:p>
  </w:endnote>
  <w:endnote w:type="continuationSeparator" w:id="0">
    <w:p w:rsidR="0010223B" w:rsidRDefault="0010223B"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CF7B2D" w:rsidRDefault="00CF7B2D">
        <w:pPr>
          <w:pStyle w:val="AltBilgi"/>
          <w:jc w:val="right"/>
        </w:pPr>
        <w:r>
          <w:fldChar w:fldCharType="begin"/>
        </w:r>
        <w:r>
          <w:instrText xml:space="preserve"> PAGE   \* MERGEFORMAT </w:instrText>
        </w:r>
        <w:r>
          <w:fldChar w:fldCharType="separate"/>
        </w:r>
        <w:r w:rsidR="00A653BD">
          <w:rPr>
            <w:noProof/>
          </w:rPr>
          <w:t>3</w:t>
        </w:r>
        <w:r>
          <w:rPr>
            <w:noProof/>
          </w:rPr>
          <w:fldChar w:fldCharType="end"/>
        </w:r>
      </w:p>
    </w:sdtContent>
  </w:sdt>
  <w:p w:rsidR="00CF7B2D" w:rsidRDefault="00CF7B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3B" w:rsidRDefault="0010223B" w:rsidP="009220F9">
      <w:r>
        <w:separator/>
      </w:r>
    </w:p>
  </w:footnote>
  <w:footnote w:type="continuationSeparator" w:id="0">
    <w:p w:rsidR="0010223B" w:rsidRDefault="0010223B"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F9"/>
    <w:rsid w:val="00000DD8"/>
    <w:rsid w:val="00002C39"/>
    <w:rsid w:val="00006B85"/>
    <w:rsid w:val="00016CF6"/>
    <w:rsid w:val="000210F7"/>
    <w:rsid w:val="0002161D"/>
    <w:rsid w:val="00022A8E"/>
    <w:rsid w:val="00023C69"/>
    <w:rsid w:val="000267B0"/>
    <w:rsid w:val="00026D70"/>
    <w:rsid w:val="00027564"/>
    <w:rsid w:val="000277E3"/>
    <w:rsid w:val="00027849"/>
    <w:rsid w:val="00030053"/>
    <w:rsid w:val="00030F1D"/>
    <w:rsid w:val="00033746"/>
    <w:rsid w:val="00035443"/>
    <w:rsid w:val="00035CB4"/>
    <w:rsid w:val="00036456"/>
    <w:rsid w:val="00037968"/>
    <w:rsid w:val="00040005"/>
    <w:rsid w:val="00040C9D"/>
    <w:rsid w:val="00042127"/>
    <w:rsid w:val="000436EB"/>
    <w:rsid w:val="00045F19"/>
    <w:rsid w:val="000504B8"/>
    <w:rsid w:val="0005051D"/>
    <w:rsid w:val="00050B37"/>
    <w:rsid w:val="00051BAD"/>
    <w:rsid w:val="00052BE1"/>
    <w:rsid w:val="00052DC2"/>
    <w:rsid w:val="00052E88"/>
    <w:rsid w:val="000532B4"/>
    <w:rsid w:val="0005473D"/>
    <w:rsid w:val="00055CBB"/>
    <w:rsid w:val="000604D7"/>
    <w:rsid w:val="00061919"/>
    <w:rsid w:val="00063629"/>
    <w:rsid w:val="0006423C"/>
    <w:rsid w:val="00066BEF"/>
    <w:rsid w:val="000674E7"/>
    <w:rsid w:val="00067935"/>
    <w:rsid w:val="000700DA"/>
    <w:rsid w:val="00070D18"/>
    <w:rsid w:val="00071036"/>
    <w:rsid w:val="000724E9"/>
    <w:rsid w:val="00072D1B"/>
    <w:rsid w:val="0007392E"/>
    <w:rsid w:val="0008115E"/>
    <w:rsid w:val="000849CF"/>
    <w:rsid w:val="00087886"/>
    <w:rsid w:val="0009054E"/>
    <w:rsid w:val="00093147"/>
    <w:rsid w:val="00095415"/>
    <w:rsid w:val="000968F7"/>
    <w:rsid w:val="00096EFF"/>
    <w:rsid w:val="000973B9"/>
    <w:rsid w:val="000A0E24"/>
    <w:rsid w:val="000A1FDC"/>
    <w:rsid w:val="000A22E2"/>
    <w:rsid w:val="000A29A4"/>
    <w:rsid w:val="000A451E"/>
    <w:rsid w:val="000A5CB4"/>
    <w:rsid w:val="000A5F85"/>
    <w:rsid w:val="000A6524"/>
    <w:rsid w:val="000A6533"/>
    <w:rsid w:val="000B040B"/>
    <w:rsid w:val="000B4AEE"/>
    <w:rsid w:val="000C2039"/>
    <w:rsid w:val="000C57E2"/>
    <w:rsid w:val="000C5A29"/>
    <w:rsid w:val="000D1FA1"/>
    <w:rsid w:val="000D3DD1"/>
    <w:rsid w:val="000D3F26"/>
    <w:rsid w:val="000D4C05"/>
    <w:rsid w:val="000D55AB"/>
    <w:rsid w:val="000E32A9"/>
    <w:rsid w:val="000E349A"/>
    <w:rsid w:val="000E773C"/>
    <w:rsid w:val="000F060C"/>
    <w:rsid w:val="000F29D5"/>
    <w:rsid w:val="000F3878"/>
    <w:rsid w:val="000F5F94"/>
    <w:rsid w:val="00101875"/>
    <w:rsid w:val="0010223B"/>
    <w:rsid w:val="00105D8F"/>
    <w:rsid w:val="00110B58"/>
    <w:rsid w:val="00111C29"/>
    <w:rsid w:val="00113B51"/>
    <w:rsid w:val="001165C0"/>
    <w:rsid w:val="00124F59"/>
    <w:rsid w:val="0012552E"/>
    <w:rsid w:val="0012700F"/>
    <w:rsid w:val="0013151D"/>
    <w:rsid w:val="00132E50"/>
    <w:rsid w:val="001361C4"/>
    <w:rsid w:val="00136E40"/>
    <w:rsid w:val="00143951"/>
    <w:rsid w:val="0014661A"/>
    <w:rsid w:val="00147AA4"/>
    <w:rsid w:val="0015049E"/>
    <w:rsid w:val="0015132A"/>
    <w:rsid w:val="00151612"/>
    <w:rsid w:val="00152796"/>
    <w:rsid w:val="00153695"/>
    <w:rsid w:val="00155C0C"/>
    <w:rsid w:val="00157D4A"/>
    <w:rsid w:val="00161059"/>
    <w:rsid w:val="001611CF"/>
    <w:rsid w:val="001631BE"/>
    <w:rsid w:val="00167D34"/>
    <w:rsid w:val="00170BC0"/>
    <w:rsid w:val="0017300E"/>
    <w:rsid w:val="0017620D"/>
    <w:rsid w:val="00176CEE"/>
    <w:rsid w:val="001811F9"/>
    <w:rsid w:val="001814C5"/>
    <w:rsid w:val="00182C67"/>
    <w:rsid w:val="0018480E"/>
    <w:rsid w:val="00184CB7"/>
    <w:rsid w:val="00186825"/>
    <w:rsid w:val="00186C0C"/>
    <w:rsid w:val="0018796B"/>
    <w:rsid w:val="00187978"/>
    <w:rsid w:val="001943B1"/>
    <w:rsid w:val="00194D31"/>
    <w:rsid w:val="00197B1D"/>
    <w:rsid w:val="00197CE1"/>
    <w:rsid w:val="001A5371"/>
    <w:rsid w:val="001A5783"/>
    <w:rsid w:val="001A5868"/>
    <w:rsid w:val="001A7B13"/>
    <w:rsid w:val="001A7B40"/>
    <w:rsid w:val="001A7F0A"/>
    <w:rsid w:val="001B0BAE"/>
    <w:rsid w:val="001B148A"/>
    <w:rsid w:val="001B1F8F"/>
    <w:rsid w:val="001B2077"/>
    <w:rsid w:val="001B23AE"/>
    <w:rsid w:val="001C0937"/>
    <w:rsid w:val="001C30D6"/>
    <w:rsid w:val="001C74FB"/>
    <w:rsid w:val="001D0A21"/>
    <w:rsid w:val="001D1066"/>
    <w:rsid w:val="001D1B40"/>
    <w:rsid w:val="001E3584"/>
    <w:rsid w:val="001E55D3"/>
    <w:rsid w:val="001E56D6"/>
    <w:rsid w:val="001F08DF"/>
    <w:rsid w:val="001F2ADF"/>
    <w:rsid w:val="001F5773"/>
    <w:rsid w:val="001F5A99"/>
    <w:rsid w:val="001F6852"/>
    <w:rsid w:val="001F69CA"/>
    <w:rsid w:val="001F6EC6"/>
    <w:rsid w:val="00202E58"/>
    <w:rsid w:val="0020373E"/>
    <w:rsid w:val="00206BCE"/>
    <w:rsid w:val="002070E4"/>
    <w:rsid w:val="00207631"/>
    <w:rsid w:val="002115E3"/>
    <w:rsid w:val="00211C42"/>
    <w:rsid w:val="00211D88"/>
    <w:rsid w:val="00212B39"/>
    <w:rsid w:val="00212E19"/>
    <w:rsid w:val="0021336D"/>
    <w:rsid w:val="00214770"/>
    <w:rsid w:val="0022082E"/>
    <w:rsid w:val="00221C53"/>
    <w:rsid w:val="0022222F"/>
    <w:rsid w:val="00222D4C"/>
    <w:rsid w:val="00223DE1"/>
    <w:rsid w:val="00224845"/>
    <w:rsid w:val="00224BCA"/>
    <w:rsid w:val="002256B5"/>
    <w:rsid w:val="00232A93"/>
    <w:rsid w:val="00232B5A"/>
    <w:rsid w:val="0023335B"/>
    <w:rsid w:val="00233A21"/>
    <w:rsid w:val="00234EFB"/>
    <w:rsid w:val="00240335"/>
    <w:rsid w:val="00241DD9"/>
    <w:rsid w:val="00241F3C"/>
    <w:rsid w:val="0024246E"/>
    <w:rsid w:val="00244053"/>
    <w:rsid w:val="00244693"/>
    <w:rsid w:val="00245F9F"/>
    <w:rsid w:val="002468D7"/>
    <w:rsid w:val="0025197D"/>
    <w:rsid w:val="00251F2A"/>
    <w:rsid w:val="002533D3"/>
    <w:rsid w:val="00256DD9"/>
    <w:rsid w:val="0025707B"/>
    <w:rsid w:val="00257C5E"/>
    <w:rsid w:val="00263DD9"/>
    <w:rsid w:val="00265B40"/>
    <w:rsid w:val="002668F0"/>
    <w:rsid w:val="0026799C"/>
    <w:rsid w:val="002701A7"/>
    <w:rsid w:val="0027149E"/>
    <w:rsid w:val="002718B1"/>
    <w:rsid w:val="0027357B"/>
    <w:rsid w:val="00273800"/>
    <w:rsid w:val="00276A95"/>
    <w:rsid w:val="00276DD5"/>
    <w:rsid w:val="002770B4"/>
    <w:rsid w:val="00277915"/>
    <w:rsid w:val="00281181"/>
    <w:rsid w:val="00283075"/>
    <w:rsid w:val="00286EC7"/>
    <w:rsid w:val="00292529"/>
    <w:rsid w:val="00292993"/>
    <w:rsid w:val="00294530"/>
    <w:rsid w:val="002A0D02"/>
    <w:rsid w:val="002A46A3"/>
    <w:rsid w:val="002A768E"/>
    <w:rsid w:val="002B0DDE"/>
    <w:rsid w:val="002B1D56"/>
    <w:rsid w:val="002B204B"/>
    <w:rsid w:val="002B62DD"/>
    <w:rsid w:val="002B65C0"/>
    <w:rsid w:val="002B7CD9"/>
    <w:rsid w:val="002C3E6B"/>
    <w:rsid w:val="002C4547"/>
    <w:rsid w:val="002C4E11"/>
    <w:rsid w:val="002C558F"/>
    <w:rsid w:val="002C5661"/>
    <w:rsid w:val="002C7D6B"/>
    <w:rsid w:val="002D11BA"/>
    <w:rsid w:val="002D1784"/>
    <w:rsid w:val="002D6146"/>
    <w:rsid w:val="002D7D48"/>
    <w:rsid w:val="002E5F30"/>
    <w:rsid w:val="002E658F"/>
    <w:rsid w:val="002E7380"/>
    <w:rsid w:val="002F203A"/>
    <w:rsid w:val="002F38C1"/>
    <w:rsid w:val="002F3FD2"/>
    <w:rsid w:val="002F7A1C"/>
    <w:rsid w:val="0030777F"/>
    <w:rsid w:val="00310E84"/>
    <w:rsid w:val="00311782"/>
    <w:rsid w:val="00313157"/>
    <w:rsid w:val="00313BAC"/>
    <w:rsid w:val="00313BC0"/>
    <w:rsid w:val="00313E58"/>
    <w:rsid w:val="0031401D"/>
    <w:rsid w:val="00315041"/>
    <w:rsid w:val="0032061D"/>
    <w:rsid w:val="00322D0C"/>
    <w:rsid w:val="0032312A"/>
    <w:rsid w:val="0032397A"/>
    <w:rsid w:val="003301FC"/>
    <w:rsid w:val="003325CB"/>
    <w:rsid w:val="00334D2C"/>
    <w:rsid w:val="00335880"/>
    <w:rsid w:val="00335EB3"/>
    <w:rsid w:val="00335F1A"/>
    <w:rsid w:val="00337F4E"/>
    <w:rsid w:val="00345A0A"/>
    <w:rsid w:val="00345E67"/>
    <w:rsid w:val="00351E56"/>
    <w:rsid w:val="0035310C"/>
    <w:rsid w:val="00353896"/>
    <w:rsid w:val="00353C91"/>
    <w:rsid w:val="00353DE2"/>
    <w:rsid w:val="003611D0"/>
    <w:rsid w:val="00362907"/>
    <w:rsid w:val="00362A75"/>
    <w:rsid w:val="0036328F"/>
    <w:rsid w:val="00367AFC"/>
    <w:rsid w:val="00370687"/>
    <w:rsid w:val="00373C64"/>
    <w:rsid w:val="003744A4"/>
    <w:rsid w:val="00380394"/>
    <w:rsid w:val="00380ABB"/>
    <w:rsid w:val="0038109A"/>
    <w:rsid w:val="00382044"/>
    <w:rsid w:val="00382FFB"/>
    <w:rsid w:val="00383DCE"/>
    <w:rsid w:val="0039005C"/>
    <w:rsid w:val="0039137F"/>
    <w:rsid w:val="003916A8"/>
    <w:rsid w:val="00391802"/>
    <w:rsid w:val="003920F3"/>
    <w:rsid w:val="00392D85"/>
    <w:rsid w:val="00394B34"/>
    <w:rsid w:val="003976D8"/>
    <w:rsid w:val="003A7870"/>
    <w:rsid w:val="003B1584"/>
    <w:rsid w:val="003B4EA9"/>
    <w:rsid w:val="003B6834"/>
    <w:rsid w:val="003B6C15"/>
    <w:rsid w:val="003C15C1"/>
    <w:rsid w:val="003C27CB"/>
    <w:rsid w:val="003C3616"/>
    <w:rsid w:val="003C394C"/>
    <w:rsid w:val="003C3ECC"/>
    <w:rsid w:val="003D2231"/>
    <w:rsid w:val="003D34A7"/>
    <w:rsid w:val="003D5641"/>
    <w:rsid w:val="003D753A"/>
    <w:rsid w:val="003E3EE5"/>
    <w:rsid w:val="003E57E7"/>
    <w:rsid w:val="003F408E"/>
    <w:rsid w:val="003F5522"/>
    <w:rsid w:val="00400DC7"/>
    <w:rsid w:val="00403179"/>
    <w:rsid w:val="004034A1"/>
    <w:rsid w:val="00406EE1"/>
    <w:rsid w:val="004109C1"/>
    <w:rsid w:val="00411A06"/>
    <w:rsid w:val="00413049"/>
    <w:rsid w:val="00416413"/>
    <w:rsid w:val="00423C0F"/>
    <w:rsid w:val="00424102"/>
    <w:rsid w:val="00424788"/>
    <w:rsid w:val="00425AE7"/>
    <w:rsid w:val="00430879"/>
    <w:rsid w:val="004327C6"/>
    <w:rsid w:val="00434BDC"/>
    <w:rsid w:val="004358A4"/>
    <w:rsid w:val="00440000"/>
    <w:rsid w:val="0044076C"/>
    <w:rsid w:val="004415E1"/>
    <w:rsid w:val="004418FA"/>
    <w:rsid w:val="00441EFD"/>
    <w:rsid w:val="004462A9"/>
    <w:rsid w:val="00446686"/>
    <w:rsid w:val="0044757A"/>
    <w:rsid w:val="00452897"/>
    <w:rsid w:val="00454CA6"/>
    <w:rsid w:val="0045609F"/>
    <w:rsid w:val="00456561"/>
    <w:rsid w:val="00456906"/>
    <w:rsid w:val="00456A26"/>
    <w:rsid w:val="00457998"/>
    <w:rsid w:val="004631BB"/>
    <w:rsid w:val="00463770"/>
    <w:rsid w:val="00465823"/>
    <w:rsid w:val="00465B76"/>
    <w:rsid w:val="004669C5"/>
    <w:rsid w:val="00470798"/>
    <w:rsid w:val="004717F0"/>
    <w:rsid w:val="00474ABE"/>
    <w:rsid w:val="00477AB8"/>
    <w:rsid w:val="00480B43"/>
    <w:rsid w:val="00480D75"/>
    <w:rsid w:val="00482026"/>
    <w:rsid w:val="004827FF"/>
    <w:rsid w:val="00482827"/>
    <w:rsid w:val="00484610"/>
    <w:rsid w:val="0048639A"/>
    <w:rsid w:val="00490DAE"/>
    <w:rsid w:val="004928FC"/>
    <w:rsid w:val="00492E7D"/>
    <w:rsid w:val="004939BD"/>
    <w:rsid w:val="004946B4"/>
    <w:rsid w:val="004971BB"/>
    <w:rsid w:val="00497557"/>
    <w:rsid w:val="004A0DAD"/>
    <w:rsid w:val="004A34E3"/>
    <w:rsid w:val="004A3BC9"/>
    <w:rsid w:val="004A463C"/>
    <w:rsid w:val="004A4BB0"/>
    <w:rsid w:val="004A4C52"/>
    <w:rsid w:val="004A4EB3"/>
    <w:rsid w:val="004A4F9E"/>
    <w:rsid w:val="004A57D6"/>
    <w:rsid w:val="004A5D8F"/>
    <w:rsid w:val="004A63B6"/>
    <w:rsid w:val="004A7C88"/>
    <w:rsid w:val="004B34F1"/>
    <w:rsid w:val="004B46C1"/>
    <w:rsid w:val="004C404D"/>
    <w:rsid w:val="004C5731"/>
    <w:rsid w:val="004C5AB8"/>
    <w:rsid w:val="004C6482"/>
    <w:rsid w:val="004C7461"/>
    <w:rsid w:val="004D0E20"/>
    <w:rsid w:val="004D39C1"/>
    <w:rsid w:val="004D402A"/>
    <w:rsid w:val="004E2869"/>
    <w:rsid w:val="004E2ABC"/>
    <w:rsid w:val="004E3847"/>
    <w:rsid w:val="004E52A8"/>
    <w:rsid w:val="004E5672"/>
    <w:rsid w:val="004E7412"/>
    <w:rsid w:val="004F0441"/>
    <w:rsid w:val="004F3286"/>
    <w:rsid w:val="004F4167"/>
    <w:rsid w:val="004F7DF9"/>
    <w:rsid w:val="00501FBC"/>
    <w:rsid w:val="00503FC1"/>
    <w:rsid w:val="00504C29"/>
    <w:rsid w:val="00506D3D"/>
    <w:rsid w:val="0050784D"/>
    <w:rsid w:val="00510250"/>
    <w:rsid w:val="00510DB6"/>
    <w:rsid w:val="00512AEC"/>
    <w:rsid w:val="00513AC4"/>
    <w:rsid w:val="00513FA0"/>
    <w:rsid w:val="0051630D"/>
    <w:rsid w:val="00516DA2"/>
    <w:rsid w:val="0051797B"/>
    <w:rsid w:val="0052013A"/>
    <w:rsid w:val="00523A70"/>
    <w:rsid w:val="00525E6E"/>
    <w:rsid w:val="005274BE"/>
    <w:rsid w:val="00531D46"/>
    <w:rsid w:val="0053268F"/>
    <w:rsid w:val="00533652"/>
    <w:rsid w:val="00537B6C"/>
    <w:rsid w:val="005401C5"/>
    <w:rsid w:val="005403FA"/>
    <w:rsid w:val="00540DD3"/>
    <w:rsid w:val="00541675"/>
    <w:rsid w:val="00541CA1"/>
    <w:rsid w:val="00541CF0"/>
    <w:rsid w:val="005432D4"/>
    <w:rsid w:val="0054525A"/>
    <w:rsid w:val="005456A6"/>
    <w:rsid w:val="0054644D"/>
    <w:rsid w:val="0054751A"/>
    <w:rsid w:val="00547EFE"/>
    <w:rsid w:val="005507CC"/>
    <w:rsid w:val="0055642D"/>
    <w:rsid w:val="00556D30"/>
    <w:rsid w:val="00557C7F"/>
    <w:rsid w:val="005601AF"/>
    <w:rsid w:val="00561205"/>
    <w:rsid w:val="00562E40"/>
    <w:rsid w:val="00566599"/>
    <w:rsid w:val="00567EAA"/>
    <w:rsid w:val="00571F7D"/>
    <w:rsid w:val="00574610"/>
    <w:rsid w:val="00576558"/>
    <w:rsid w:val="005812A0"/>
    <w:rsid w:val="00582680"/>
    <w:rsid w:val="00583697"/>
    <w:rsid w:val="005867D6"/>
    <w:rsid w:val="00591F7D"/>
    <w:rsid w:val="00592A66"/>
    <w:rsid w:val="00592F30"/>
    <w:rsid w:val="005937E2"/>
    <w:rsid w:val="00593B75"/>
    <w:rsid w:val="00594D0E"/>
    <w:rsid w:val="00594E23"/>
    <w:rsid w:val="00597465"/>
    <w:rsid w:val="005A5170"/>
    <w:rsid w:val="005A5B10"/>
    <w:rsid w:val="005A7689"/>
    <w:rsid w:val="005B191C"/>
    <w:rsid w:val="005B4D8C"/>
    <w:rsid w:val="005B4F28"/>
    <w:rsid w:val="005C11FB"/>
    <w:rsid w:val="005C16DD"/>
    <w:rsid w:val="005C3294"/>
    <w:rsid w:val="005C6AE2"/>
    <w:rsid w:val="005C6CC4"/>
    <w:rsid w:val="005C7EC6"/>
    <w:rsid w:val="005D469E"/>
    <w:rsid w:val="005E4D42"/>
    <w:rsid w:val="005E5437"/>
    <w:rsid w:val="005E7EE0"/>
    <w:rsid w:val="005F1FAD"/>
    <w:rsid w:val="005F2B35"/>
    <w:rsid w:val="005F31F7"/>
    <w:rsid w:val="005F4D76"/>
    <w:rsid w:val="00601537"/>
    <w:rsid w:val="00604C89"/>
    <w:rsid w:val="00605404"/>
    <w:rsid w:val="006078D3"/>
    <w:rsid w:val="00610C16"/>
    <w:rsid w:val="00611A78"/>
    <w:rsid w:val="00612F1F"/>
    <w:rsid w:val="00614989"/>
    <w:rsid w:val="006153DA"/>
    <w:rsid w:val="006156BD"/>
    <w:rsid w:val="00615ACD"/>
    <w:rsid w:val="00616B9C"/>
    <w:rsid w:val="006178F8"/>
    <w:rsid w:val="00621CE2"/>
    <w:rsid w:val="006245D4"/>
    <w:rsid w:val="006271DC"/>
    <w:rsid w:val="006304CA"/>
    <w:rsid w:val="00631273"/>
    <w:rsid w:val="006332F0"/>
    <w:rsid w:val="00634804"/>
    <w:rsid w:val="00636F40"/>
    <w:rsid w:val="0063701D"/>
    <w:rsid w:val="0064031C"/>
    <w:rsid w:val="0064158C"/>
    <w:rsid w:val="0064237F"/>
    <w:rsid w:val="00645395"/>
    <w:rsid w:val="00645D72"/>
    <w:rsid w:val="0064729F"/>
    <w:rsid w:val="006473EA"/>
    <w:rsid w:val="00650D97"/>
    <w:rsid w:val="00651542"/>
    <w:rsid w:val="0065717F"/>
    <w:rsid w:val="0066183C"/>
    <w:rsid w:val="0066218D"/>
    <w:rsid w:val="006635D0"/>
    <w:rsid w:val="00663DDC"/>
    <w:rsid w:val="0066431F"/>
    <w:rsid w:val="00665A3B"/>
    <w:rsid w:val="00665CC7"/>
    <w:rsid w:val="00670071"/>
    <w:rsid w:val="0067134F"/>
    <w:rsid w:val="0067245E"/>
    <w:rsid w:val="00675BF9"/>
    <w:rsid w:val="006764A6"/>
    <w:rsid w:val="006765A8"/>
    <w:rsid w:val="00680E7B"/>
    <w:rsid w:val="00681186"/>
    <w:rsid w:val="00681396"/>
    <w:rsid w:val="0068140D"/>
    <w:rsid w:val="006852F3"/>
    <w:rsid w:val="00685B26"/>
    <w:rsid w:val="006860DF"/>
    <w:rsid w:val="00690733"/>
    <w:rsid w:val="006925ED"/>
    <w:rsid w:val="00694DEF"/>
    <w:rsid w:val="00695EC3"/>
    <w:rsid w:val="006965BB"/>
    <w:rsid w:val="006968F5"/>
    <w:rsid w:val="00696C56"/>
    <w:rsid w:val="00696E9E"/>
    <w:rsid w:val="006A03B0"/>
    <w:rsid w:val="006A07EE"/>
    <w:rsid w:val="006A24BD"/>
    <w:rsid w:val="006A2B41"/>
    <w:rsid w:val="006A5F03"/>
    <w:rsid w:val="006A6848"/>
    <w:rsid w:val="006A6CA9"/>
    <w:rsid w:val="006A6E9D"/>
    <w:rsid w:val="006A7EB9"/>
    <w:rsid w:val="006B1490"/>
    <w:rsid w:val="006B2EE2"/>
    <w:rsid w:val="006B4745"/>
    <w:rsid w:val="006C173B"/>
    <w:rsid w:val="006C1A16"/>
    <w:rsid w:val="006C4122"/>
    <w:rsid w:val="006D0133"/>
    <w:rsid w:val="006D176B"/>
    <w:rsid w:val="006D1F96"/>
    <w:rsid w:val="006D386A"/>
    <w:rsid w:val="006D4759"/>
    <w:rsid w:val="006D48B1"/>
    <w:rsid w:val="006D4DE9"/>
    <w:rsid w:val="006D7F5D"/>
    <w:rsid w:val="006E10F2"/>
    <w:rsid w:val="006E1607"/>
    <w:rsid w:val="006E2444"/>
    <w:rsid w:val="006E2550"/>
    <w:rsid w:val="006E3A32"/>
    <w:rsid w:val="006E4042"/>
    <w:rsid w:val="006E4CFF"/>
    <w:rsid w:val="006E59DB"/>
    <w:rsid w:val="006E5EC0"/>
    <w:rsid w:val="006E773E"/>
    <w:rsid w:val="006E7B7F"/>
    <w:rsid w:val="006E7E22"/>
    <w:rsid w:val="006F0F54"/>
    <w:rsid w:val="006F67E5"/>
    <w:rsid w:val="007006FD"/>
    <w:rsid w:val="007010A3"/>
    <w:rsid w:val="00703F4F"/>
    <w:rsid w:val="00705CE2"/>
    <w:rsid w:val="0070672D"/>
    <w:rsid w:val="00706A87"/>
    <w:rsid w:val="00712598"/>
    <w:rsid w:val="00717DCE"/>
    <w:rsid w:val="00717EAB"/>
    <w:rsid w:val="00721776"/>
    <w:rsid w:val="00721A76"/>
    <w:rsid w:val="007223EF"/>
    <w:rsid w:val="00724A13"/>
    <w:rsid w:val="007254D7"/>
    <w:rsid w:val="00727E24"/>
    <w:rsid w:val="00727E28"/>
    <w:rsid w:val="007304B5"/>
    <w:rsid w:val="00730BA8"/>
    <w:rsid w:val="007337BB"/>
    <w:rsid w:val="007368D8"/>
    <w:rsid w:val="0073726F"/>
    <w:rsid w:val="00737D9C"/>
    <w:rsid w:val="00740981"/>
    <w:rsid w:val="00741053"/>
    <w:rsid w:val="0074581B"/>
    <w:rsid w:val="007473A3"/>
    <w:rsid w:val="007500C7"/>
    <w:rsid w:val="00750159"/>
    <w:rsid w:val="00762BD9"/>
    <w:rsid w:val="007632E0"/>
    <w:rsid w:val="0076465C"/>
    <w:rsid w:val="0076720A"/>
    <w:rsid w:val="00767AF9"/>
    <w:rsid w:val="00767B16"/>
    <w:rsid w:val="00770D5F"/>
    <w:rsid w:val="00770F58"/>
    <w:rsid w:val="00771B42"/>
    <w:rsid w:val="007727BD"/>
    <w:rsid w:val="00775426"/>
    <w:rsid w:val="00776D32"/>
    <w:rsid w:val="00777FE2"/>
    <w:rsid w:val="00787D01"/>
    <w:rsid w:val="007908FB"/>
    <w:rsid w:val="00791CBF"/>
    <w:rsid w:val="00791E4E"/>
    <w:rsid w:val="00792153"/>
    <w:rsid w:val="00792997"/>
    <w:rsid w:val="007963E3"/>
    <w:rsid w:val="00796CE9"/>
    <w:rsid w:val="00796D65"/>
    <w:rsid w:val="00796EBD"/>
    <w:rsid w:val="007A0827"/>
    <w:rsid w:val="007A23CB"/>
    <w:rsid w:val="007A2DCC"/>
    <w:rsid w:val="007A43B0"/>
    <w:rsid w:val="007A43D6"/>
    <w:rsid w:val="007A45A6"/>
    <w:rsid w:val="007A4D11"/>
    <w:rsid w:val="007A52E3"/>
    <w:rsid w:val="007A6060"/>
    <w:rsid w:val="007A7AF6"/>
    <w:rsid w:val="007B04AD"/>
    <w:rsid w:val="007B0E12"/>
    <w:rsid w:val="007B484B"/>
    <w:rsid w:val="007B682F"/>
    <w:rsid w:val="007B7809"/>
    <w:rsid w:val="007B7931"/>
    <w:rsid w:val="007C0C87"/>
    <w:rsid w:val="007C42F0"/>
    <w:rsid w:val="007C4DAA"/>
    <w:rsid w:val="007C73D5"/>
    <w:rsid w:val="007D0325"/>
    <w:rsid w:val="007D03C0"/>
    <w:rsid w:val="007D6074"/>
    <w:rsid w:val="007E187C"/>
    <w:rsid w:val="007E2812"/>
    <w:rsid w:val="007E79BB"/>
    <w:rsid w:val="007F0C88"/>
    <w:rsid w:val="007F5FD4"/>
    <w:rsid w:val="007F7C6E"/>
    <w:rsid w:val="008004E9"/>
    <w:rsid w:val="008008E5"/>
    <w:rsid w:val="00800BBE"/>
    <w:rsid w:val="00801636"/>
    <w:rsid w:val="00801867"/>
    <w:rsid w:val="00804D73"/>
    <w:rsid w:val="008065B3"/>
    <w:rsid w:val="00807F83"/>
    <w:rsid w:val="00811DB7"/>
    <w:rsid w:val="00813378"/>
    <w:rsid w:val="00815FA3"/>
    <w:rsid w:val="00820CA2"/>
    <w:rsid w:val="00821069"/>
    <w:rsid w:val="008222B2"/>
    <w:rsid w:val="00823833"/>
    <w:rsid w:val="00824572"/>
    <w:rsid w:val="00824849"/>
    <w:rsid w:val="0082661C"/>
    <w:rsid w:val="00826A05"/>
    <w:rsid w:val="00827238"/>
    <w:rsid w:val="00827B2C"/>
    <w:rsid w:val="0083147E"/>
    <w:rsid w:val="008338F8"/>
    <w:rsid w:val="00833A9D"/>
    <w:rsid w:val="00833D1E"/>
    <w:rsid w:val="008348B0"/>
    <w:rsid w:val="00834F94"/>
    <w:rsid w:val="00835913"/>
    <w:rsid w:val="00836942"/>
    <w:rsid w:val="008417DF"/>
    <w:rsid w:val="00843247"/>
    <w:rsid w:val="0084460E"/>
    <w:rsid w:val="00845491"/>
    <w:rsid w:val="008466B2"/>
    <w:rsid w:val="00852A8B"/>
    <w:rsid w:val="0085641F"/>
    <w:rsid w:val="00864CC9"/>
    <w:rsid w:val="00865383"/>
    <w:rsid w:val="00867B33"/>
    <w:rsid w:val="0087396A"/>
    <w:rsid w:val="0087416D"/>
    <w:rsid w:val="00874E4B"/>
    <w:rsid w:val="00875667"/>
    <w:rsid w:val="008768C8"/>
    <w:rsid w:val="00876F38"/>
    <w:rsid w:val="008778A1"/>
    <w:rsid w:val="00877A3A"/>
    <w:rsid w:val="00880405"/>
    <w:rsid w:val="0088048B"/>
    <w:rsid w:val="008827B0"/>
    <w:rsid w:val="00884CEE"/>
    <w:rsid w:val="00891082"/>
    <w:rsid w:val="0089249C"/>
    <w:rsid w:val="008931A3"/>
    <w:rsid w:val="0089433D"/>
    <w:rsid w:val="00894664"/>
    <w:rsid w:val="0089504F"/>
    <w:rsid w:val="008956CA"/>
    <w:rsid w:val="0089785F"/>
    <w:rsid w:val="008A41B5"/>
    <w:rsid w:val="008A48F4"/>
    <w:rsid w:val="008A50AF"/>
    <w:rsid w:val="008A544A"/>
    <w:rsid w:val="008A5E0D"/>
    <w:rsid w:val="008A66B7"/>
    <w:rsid w:val="008A7F1C"/>
    <w:rsid w:val="008B2590"/>
    <w:rsid w:val="008B2EDE"/>
    <w:rsid w:val="008B3A37"/>
    <w:rsid w:val="008B41FB"/>
    <w:rsid w:val="008B47AA"/>
    <w:rsid w:val="008B50FC"/>
    <w:rsid w:val="008B5858"/>
    <w:rsid w:val="008B641E"/>
    <w:rsid w:val="008B69FE"/>
    <w:rsid w:val="008C1104"/>
    <w:rsid w:val="008C261A"/>
    <w:rsid w:val="008C3297"/>
    <w:rsid w:val="008C35D8"/>
    <w:rsid w:val="008C4180"/>
    <w:rsid w:val="008C520D"/>
    <w:rsid w:val="008C66D5"/>
    <w:rsid w:val="008C68C0"/>
    <w:rsid w:val="008C7571"/>
    <w:rsid w:val="008D173C"/>
    <w:rsid w:val="008D1D62"/>
    <w:rsid w:val="008D21B8"/>
    <w:rsid w:val="008D3030"/>
    <w:rsid w:val="008D309D"/>
    <w:rsid w:val="008D3FA4"/>
    <w:rsid w:val="008D4B1A"/>
    <w:rsid w:val="008D4FCA"/>
    <w:rsid w:val="008D5028"/>
    <w:rsid w:val="008D6AF3"/>
    <w:rsid w:val="008E15E4"/>
    <w:rsid w:val="008E16E4"/>
    <w:rsid w:val="008E27E2"/>
    <w:rsid w:val="008E3321"/>
    <w:rsid w:val="008E33BC"/>
    <w:rsid w:val="008E71B3"/>
    <w:rsid w:val="008F61EE"/>
    <w:rsid w:val="008F67EB"/>
    <w:rsid w:val="008F7E47"/>
    <w:rsid w:val="0090064C"/>
    <w:rsid w:val="009011AA"/>
    <w:rsid w:val="00903CB3"/>
    <w:rsid w:val="00907CA8"/>
    <w:rsid w:val="00911CBC"/>
    <w:rsid w:val="0091412C"/>
    <w:rsid w:val="00914793"/>
    <w:rsid w:val="009149BC"/>
    <w:rsid w:val="00916ABD"/>
    <w:rsid w:val="00916F87"/>
    <w:rsid w:val="009220F9"/>
    <w:rsid w:val="009241DF"/>
    <w:rsid w:val="00925C71"/>
    <w:rsid w:val="009261A9"/>
    <w:rsid w:val="009308C8"/>
    <w:rsid w:val="00931932"/>
    <w:rsid w:val="00934BBD"/>
    <w:rsid w:val="00935CC1"/>
    <w:rsid w:val="0094162E"/>
    <w:rsid w:val="009438FC"/>
    <w:rsid w:val="0094475E"/>
    <w:rsid w:val="00946FE2"/>
    <w:rsid w:val="0095565D"/>
    <w:rsid w:val="00961738"/>
    <w:rsid w:val="00961F2A"/>
    <w:rsid w:val="00965504"/>
    <w:rsid w:val="009657D7"/>
    <w:rsid w:val="009677CF"/>
    <w:rsid w:val="009715EA"/>
    <w:rsid w:val="00971CCC"/>
    <w:rsid w:val="00974012"/>
    <w:rsid w:val="00974AF4"/>
    <w:rsid w:val="0097584B"/>
    <w:rsid w:val="00976A83"/>
    <w:rsid w:val="00980377"/>
    <w:rsid w:val="00980686"/>
    <w:rsid w:val="00981E9A"/>
    <w:rsid w:val="009821CF"/>
    <w:rsid w:val="00982635"/>
    <w:rsid w:val="0098475B"/>
    <w:rsid w:val="0098643C"/>
    <w:rsid w:val="00986808"/>
    <w:rsid w:val="00986F1A"/>
    <w:rsid w:val="00987C88"/>
    <w:rsid w:val="00990D9A"/>
    <w:rsid w:val="009924FB"/>
    <w:rsid w:val="00992568"/>
    <w:rsid w:val="009A143F"/>
    <w:rsid w:val="009A5D1A"/>
    <w:rsid w:val="009B6FB1"/>
    <w:rsid w:val="009C2360"/>
    <w:rsid w:val="009C5A53"/>
    <w:rsid w:val="009C62B1"/>
    <w:rsid w:val="009C77D7"/>
    <w:rsid w:val="009D36B8"/>
    <w:rsid w:val="009D4DF5"/>
    <w:rsid w:val="009D6B74"/>
    <w:rsid w:val="009D6F32"/>
    <w:rsid w:val="009E2139"/>
    <w:rsid w:val="009E2726"/>
    <w:rsid w:val="009E3604"/>
    <w:rsid w:val="009E3C9B"/>
    <w:rsid w:val="009E4626"/>
    <w:rsid w:val="009E51C3"/>
    <w:rsid w:val="009E53FB"/>
    <w:rsid w:val="009E5A8E"/>
    <w:rsid w:val="009E7AA7"/>
    <w:rsid w:val="009F3CBD"/>
    <w:rsid w:val="009F526C"/>
    <w:rsid w:val="009F63BB"/>
    <w:rsid w:val="009F666C"/>
    <w:rsid w:val="009F716E"/>
    <w:rsid w:val="009F76B8"/>
    <w:rsid w:val="009F7A06"/>
    <w:rsid w:val="00A00F5E"/>
    <w:rsid w:val="00A05450"/>
    <w:rsid w:val="00A1077A"/>
    <w:rsid w:val="00A112BA"/>
    <w:rsid w:val="00A11857"/>
    <w:rsid w:val="00A1290C"/>
    <w:rsid w:val="00A17297"/>
    <w:rsid w:val="00A176DD"/>
    <w:rsid w:val="00A21786"/>
    <w:rsid w:val="00A21BA7"/>
    <w:rsid w:val="00A24B55"/>
    <w:rsid w:val="00A25C9C"/>
    <w:rsid w:val="00A25D5A"/>
    <w:rsid w:val="00A3079E"/>
    <w:rsid w:val="00A34790"/>
    <w:rsid w:val="00A364E6"/>
    <w:rsid w:val="00A37594"/>
    <w:rsid w:val="00A407AE"/>
    <w:rsid w:val="00A40ECF"/>
    <w:rsid w:val="00A41500"/>
    <w:rsid w:val="00A421C2"/>
    <w:rsid w:val="00A422F9"/>
    <w:rsid w:val="00A44DAA"/>
    <w:rsid w:val="00A45866"/>
    <w:rsid w:val="00A50191"/>
    <w:rsid w:val="00A50488"/>
    <w:rsid w:val="00A50CBC"/>
    <w:rsid w:val="00A51157"/>
    <w:rsid w:val="00A51555"/>
    <w:rsid w:val="00A53E6B"/>
    <w:rsid w:val="00A53F07"/>
    <w:rsid w:val="00A57700"/>
    <w:rsid w:val="00A57CB4"/>
    <w:rsid w:val="00A60F96"/>
    <w:rsid w:val="00A6231C"/>
    <w:rsid w:val="00A62867"/>
    <w:rsid w:val="00A631C9"/>
    <w:rsid w:val="00A63269"/>
    <w:rsid w:val="00A63393"/>
    <w:rsid w:val="00A644AD"/>
    <w:rsid w:val="00A651E1"/>
    <w:rsid w:val="00A653BD"/>
    <w:rsid w:val="00A663E0"/>
    <w:rsid w:val="00A66E05"/>
    <w:rsid w:val="00A67EFC"/>
    <w:rsid w:val="00A719A6"/>
    <w:rsid w:val="00A71DE1"/>
    <w:rsid w:val="00A725F1"/>
    <w:rsid w:val="00A751A7"/>
    <w:rsid w:val="00A75D2F"/>
    <w:rsid w:val="00A768DD"/>
    <w:rsid w:val="00A76FF7"/>
    <w:rsid w:val="00A803D2"/>
    <w:rsid w:val="00A80C85"/>
    <w:rsid w:val="00A82C0E"/>
    <w:rsid w:val="00A8494C"/>
    <w:rsid w:val="00A877D5"/>
    <w:rsid w:val="00A87EAB"/>
    <w:rsid w:val="00A90F8D"/>
    <w:rsid w:val="00A92B11"/>
    <w:rsid w:val="00A963CE"/>
    <w:rsid w:val="00AA165C"/>
    <w:rsid w:val="00AA5147"/>
    <w:rsid w:val="00AA5F69"/>
    <w:rsid w:val="00AA75D9"/>
    <w:rsid w:val="00AB03EF"/>
    <w:rsid w:val="00AB16D9"/>
    <w:rsid w:val="00AB1AFD"/>
    <w:rsid w:val="00AB2627"/>
    <w:rsid w:val="00AB2D00"/>
    <w:rsid w:val="00AB6DCA"/>
    <w:rsid w:val="00AC4BF3"/>
    <w:rsid w:val="00AC5D51"/>
    <w:rsid w:val="00AC68F7"/>
    <w:rsid w:val="00AC7BC5"/>
    <w:rsid w:val="00AD0557"/>
    <w:rsid w:val="00AD1BE8"/>
    <w:rsid w:val="00AD2090"/>
    <w:rsid w:val="00AD319A"/>
    <w:rsid w:val="00AD3A1E"/>
    <w:rsid w:val="00AD3D9B"/>
    <w:rsid w:val="00AD4612"/>
    <w:rsid w:val="00AD4CD8"/>
    <w:rsid w:val="00AD50DB"/>
    <w:rsid w:val="00AD553C"/>
    <w:rsid w:val="00AD7137"/>
    <w:rsid w:val="00AD782A"/>
    <w:rsid w:val="00AD7847"/>
    <w:rsid w:val="00AE08FD"/>
    <w:rsid w:val="00AE1F04"/>
    <w:rsid w:val="00AE2631"/>
    <w:rsid w:val="00AE3CBB"/>
    <w:rsid w:val="00AE6A2B"/>
    <w:rsid w:val="00AF0373"/>
    <w:rsid w:val="00AF0C96"/>
    <w:rsid w:val="00AF125D"/>
    <w:rsid w:val="00AF1467"/>
    <w:rsid w:val="00AF1D32"/>
    <w:rsid w:val="00AF21F5"/>
    <w:rsid w:val="00AF26D1"/>
    <w:rsid w:val="00AF42E4"/>
    <w:rsid w:val="00AF49AC"/>
    <w:rsid w:val="00AF6ECB"/>
    <w:rsid w:val="00B00C27"/>
    <w:rsid w:val="00B043B6"/>
    <w:rsid w:val="00B04B44"/>
    <w:rsid w:val="00B0522C"/>
    <w:rsid w:val="00B05DE4"/>
    <w:rsid w:val="00B0743D"/>
    <w:rsid w:val="00B10D01"/>
    <w:rsid w:val="00B1258D"/>
    <w:rsid w:val="00B133FB"/>
    <w:rsid w:val="00B1724D"/>
    <w:rsid w:val="00B20741"/>
    <w:rsid w:val="00B2324C"/>
    <w:rsid w:val="00B24D37"/>
    <w:rsid w:val="00B25D73"/>
    <w:rsid w:val="00B26D90"/>
    <w:rsid w:val="00B27EB8"/>
    <w:rsid w:val="00B323C7"/>
    <w:rsid w:val="00B327B1"/>
    <w:rsid w:val="00B351F0"/>
    <w:rsid w:val="00B358AD"/>
    <w:rsid w:val="00B3596E"/>
    <w:rsid w:val="00B43B82"/>
    <w:rsid w:val="00B43CF9"/>
    <w:rsid w:val="00B447D9"/>
    <w:rsid w:val="00B45F02"/>
    <w:rsid w:val="00B46F55"/>
    <w:rsid w:val="00B507C0"/>
    <w:rsid w:val="00B5110C"/>
    <w:rsid w:val="00B512EF"/>
    <w:rsid w:val="00B52C43"/>
    <w:rsid w:val="00B56531"/>
    <w:rsid w:val="00B607AD"/>
    <w:rsid w:val="00B6379E"/>
    <w:rsid w:val="00B642A1"/>
    <w:rsid w:val="00B64DB7"/>
    <w:rsid w:val="00B65D3D"/>
    <w:rsid w:val="00B73CFC"/>
    <w:rsid w:val="00B75F1E"/>
    <w:rsid w:val="00B7770B"/>
    <w:rsid w:val="00B7777D"/>
    <w:rsid w:val="00B77A00"/>
    <w:rsid w:val="00B829EA"/>
    <w:rsid w:val="00B848F7"/>
    <w:rsid w:val="00B85586"/>
    <w:rsid w:val="00B85D5B"/>
    <w:rsid w:val="00B90C17"/>
    <w:rsid w:val="00B938BF"/>
    <w:rsid w:val="00B94E83"/>
    <w:rsid w:val="00B9527D"/>
    <w:rsid w:val="00B96814"/>
    <w:rsid w:val="00B96F2C"/>
    <w:rsid w:val="00B97213"/>
    <w:rsid w:val="00B9767D"/>
    <w:rsid w:val="00B976E6"/>
    <w:rsid w:val="00BA052E"/>
    <w:rsid w:val="00BA20DD"/>
    <w:rsid w:val="00BA3891"/>
    <w:rsid w:val="00BA3B46"/>
    <w:rsid w:val="00BA42EC"/>
    <w:rsid w:val="00BA4EB3"/>
    <w:rsid w:val="00BA580B"/>
    <w:rsid w:val="00BA6605"/>
    <w:rsid w:val="00BA6875"/>
    <w:rsid w:val="00BA71FC"/>
    <w:rsid w:val="00BA777C"/>
    <w:rsid w:val="00BA7818"/>
    <w:rsid w:val="00BB063D"/>
    <w:rsid w:val="00BB0E75"/>
    <w:rsid w:val="00BB36E2"/>
    <w:rsid w:val="00BB3B8A"/>
    <w:rsid w:val="00BC1047"/>
    <w:rsid w:val="00BC1262"/>
    <w:rsid w:val="00BC443F"/>
    <w:rsid w:val="00BC7118"/>
    <w:rsid w:val="00BC776C"/>
    <w:rsid w:val="00BD0F35"/>
    <w:rsid w:val="00BD1F53"/>
    <w:rsid w:val="00BD22DD"/>
    <w:rsid w:val="00BD3ECD"/>
    <w:rsid w:val="00BE017E"/>
    <w:rsid w:val="00BE12BE"/>
    <w:rsid w:val="00BE229F"/>
    <w:rsid w:val="00BE3226"/>
    <w:rsid w:val="00BE367B"/>
    <w:rsid w:val="00BE639F"/>
    <w:rsid w:val="00BE7327"/>
    <w:rsid w:val="00BF0606"/>
    <w:rsid w:val="00BF1163"/>
    <w:rsid w:val="00BF2154"/>
    <w:rsid w:val="00BF336B"/>
    <w:rsid w:val="00BF6231"/>
    <w:rsid w:val="00C021A2"/>
    <w:rsid w:val="00C04077"/>
    <w:rsid w:val="00C047E6"/>
    <w:rsid w:val="00C13097"/>
    <w:rsid w:val="00C151C1"/>
    <w:rsid w:val="00C1529D"/>
    <w:rsid w:val="00C15B5E"/>
    <w:rsid w:val="00C1784F"/>
    <w:rsid w:val="00C226C9"/>
    <w:rsid w:val="00C22A4A"/>
    <w:rsid w:val="00C23535"/>
    <w:rsid w:val="00C23595"/>
    <w:rsid w:val="00C25C54"/>
    <w:rsid w:val="00C26C72"/>
    <w:rsid w:val="00C30328"/>
    <w:rsid w:val="00C32CB9"/>
    <w:rsid w:val="00C32CCA"/>
    <w:rsid w:val="00C32E36"/>
    <w:rsid w:val="00C33EF4"/>
    <w:rsid w:val="00C35693"/>
    <w:rsid w:val="00C35A1F"/>
    <w:rsid w:val="00C37368"/>
    <w:rsid w:val="00C40C8B"/>
    <w:rsid w:val="00C42282"/>
    <w:rsid w:val="00C427A9"/>
    <w:rsid w:val="00C47C47"/>
    <w:rsid w:val="00C502F5"/>
    <w:rsid w:val="00C53744"/>
    <w:rsid w:val="00C612B3"/>
    <w:rsid w:val="00C61F51"/>
    <w:rsid w:val="00C63850"/>
    <w:rsid w:val="00C66CC2"/>
    <w:rsid w:val="00C67658"/>
    <w:rsid w:val="00C726A4"/>
    <w:rsid w:val="00C735B6"/>
    <w:rsid w:val="00C74AFD"/>
    <w:rsid w:val="00C76F21"/>
    <w:rsid w:val="00C77621"/>
    <w:rsid w:val="00C77F24"/>
    <w:rsid w:val="00C80711"/>
    <w:rsid w:val="00C815A2"/>
    <w:rsid w:val="00C816EE"/>
    <w:rsid w:val="00C82293"/>
    <w:rsid w:val="00C86D7A"/>
    <w:rsid w:val="00C90EB5"/>
    <w:rsid w:val="00C93445"/>
    <w:rsid w:val="00C9345F"/>
    <w:rsid w:val="00CA0795"/>
    <w:rsid w:val="00CA23B1"/>
    <w:rsid w:val="00CA340A"/>
    <w:rsid w:val="00CA4F9F"/>
    <w:rsid w:val="00CB01E6"/>
    <w:rsid w:val="00CB2D56"/>
    <w:rsid w:val="00CB3465"/>
    <w:rsid w:val="00CB534D"/>
    <w:rsid w:val="00CB5B89"/>
    <w:rsid w:val="00CC05CB"/>
    <w:rsid w:val="00CC0903"/>
    <w:rsid w:val="00CC0DB1"/>
    <w:rsid w:val="00CC1696"/>
    <w:rsid w:val="00CC661A"/>
    <w:rsid w:val="00CC6800"/>
    <w:rsid w:val="00CC74C3"/>
    <w:rsid w:val="00CC76E7"/>
    <w:rsid w:val="00CD1B51"/>
    <w:rsid w:val="00CD1F59"/>
    <w:rsid w:val="00CD23CF"/>
    <w:rsid w:val="00CD54A8"/>
    <w:rsid w:val="00CD5FC0"/>
    <w:rsid w:val="00CD6DDF"/>
    <w:rsid w:val="00CD78CD"/>
    <w:rsid w:val="00CE0962"/>
    <w:rsid w:val="00CE3D4B"/>
    <w:rsid w:val="00CE3F3C"/>
    <w:rsid w:val="00CE3F61"/>
    <w:rsid w:val="00CE5277"/>
    <w:rsid w:val="00CE5CDA"/>
    <w:rsid w:val="00CF2A76"/>
    <w:rsid w:val="00CF36F3"/>
    <w:rsid w:val="00CF3C54"/>
    <w:rsid w:val="00CF73C7"/>
    <w:rsid w:val="00CF7B2D"/>
    <w:rsid w:val="00D00498"/>
    <w:rsid w:val="00D007DE"/>
    <w:rsid w:val="00D01612"/>
    <w:rsid w:val="00D016C5"/>
    <w:rsid w:val="00D03B07"/>
    <w:rsid w:val="00D04166"/>
    <w:rsid w:val="00D067C2"/>
    <w:rsid w:val="00D10DBC"/>
    <w:rsid w:val="00D11CC9"/>
    <w:rsid w:val="00D12059"/>
    <w:rsid w:val="00D15868"/>
    <w:rsid w:val="00D21AB0"/>
    <w:rsid w:val="00D22495"/>
    <w:rsid w:val="00D22812"/>
    <w:rsid w:val="00D22A6A"/>
    <w:rsid w:val="00D25787"/>
    <w:rsid w:val="00D26734"/>
    <w:rsid w:val="00D274F8"/>
    <w:rsid w:val="00D30DEF"/>
    <w:rsid w:val="00D354BB"/>
    <w:rsid w:val="00D35A5D"/>
    <w:rsid w:val="00D41372"/>
    <w:rsid w:val="00D4622C"/>
    <w:rsid w:val="00D46D16"/>
    <w:rsid w:val="00D47E61"/>
    <w:rsid w:val="00D50036"/>
    <w:rsid w:val="00D51AB0"/>
    <w:rsid w:val="00D5249B"/>
    <w:rsid w:val="00D52ECA"/>
    <w:rsid w:val="00D53445"/>
    <w:rsid w:val="00D549CC"/>
    <w:rsid w:val="00D55E0A"/>
    <w:rsid w:val="00D56114"/>
    <w:rsid w:val="00D562C7"/>
    <w:rsid w:val="00D57EDF"/>
    <w:rsid w:val="00D6073C"/>
    <w:rsid w:val="00D637E9"/>
    <w:rsid w:val="00D64F75"/>
    <w:rsid w:val="00D65CD7"/>
    <w:rsid w:val="00D675A5"/>
    <w:rsid w:val="00D71752"/>
    <w:rsid w:val="00D72173"/>
    <w:rsid w:val="00D72405"/>
    <w:rsid w:val="00D80EA7"/>
    <w:rsid w:val="00D81E55"/>
    <w:rsid w:val="00D82A56"/>
    <w:rsid w:val="00D847A5"/>
    <w:rsid w:val="00D85CCD"/>
    <w:rsid w:val="00D85DA2"/>
    <w:rsid w:val="00D85F07"/>
    <w:rsid w:val="00D87232"/>
    <w:rsid w:val="00D877EA"/>
    <w:rsid w:val="00D90A09"/>
    <w:rsid w:val="00D912FE"/>
    <w:rsid w:val="00D92D7D"/>
    <w:rsid w:val="00D92F06"/>
    <w:rsid w:val="00D95E52"/>
    <w:rsid w:val="00D95F7B"/>
    <w:rsid w:val="00DA0545"/>
    <w:rsid w:val="00DA0663"/>
    <w:rsid w:val="00DA1E1F"/>
    <w:rsid w:val="00DA2E2E"/>
    <w:rsid w:val="00DA42D2"/>
    <w:rsid w:val="00DA528F"/>
    <w:rsid w:val="00DA7B18"/>
    <w:rsid w:val="00DB267C"/>
    <w:rsid w:val="00DB29DA"/>
    <w:rsid w:val="00DB3AB6"/>
    <w:rsid w:val="00DB6147"/>
    <w:rsid w:val="00DC1226"/>
    <w:rsid w:val="00DC1BFC"/>
    <w:rsid w:val="00DC2227"/>
    <w:rsid w:val="00DC2D0D"/>
    <w:rsid w:val="00DC2FC0"/>
    <w:rsid w:val="00DC30DE"/>
    <w:rsid w:val="00DC451E"/>
    <w:rsid w:val="00DC4B67"/>
    <w:rsid w:val="00DC4EE4"/>
    <w:rsid w:val="00DC6CAD"/>
    <w:rsid w:val="00DC78C3"/>
    <w:rsid w:val="00DD04D4"/>
    <w:rsid w:val="00DD1538"/>
    <w:rsid w:val="00DD4596"/>
    <w:rsid w:val="00DD533B"/>
    <w:rsid w:val="00DD5A66"/>
    <w:rsid w:val="00DE099A"/>
    <w:rsid w:val="00DE0A94"/>
    <w:rsid w:val="00DE2855"/>
    <w:rsid w:val="00DE3158"/>
    <w:rsid w:val="00DE67C6"/>
    <w:rsid w:val="00DF078C"/>
    <w:rsid w:val="00DF1F43"/>
    <w:rsid w:val="00DF2421"/>
    <w:rsid w:val="00DF2729"/>
    <w:rsid w:val="00DF4CF6"/>
    <w:rsid w:val="00DF5848"/>
    <w:rsid w:val="00E0791A"/>
    <w:rsid w:val="00E0796D"/>
    <w:rsid w:val="00E07FAB"/>
    <w:rsid w:val="00E111BB"/>
    <w:rsid w:val="00E116C3"/>
    <w:rsid w:val="00E12AA6"/>
    <w:rsid w:val="00E12DF2"/>
    <w:rsid w:val="00E14599"/>
    <w:rsid w:val="00E16E3C"/>
    <w:rsid w:val="00E17466"/>
    <w:rsid w:val="00E21457"/>
    <w:rsid w:val="00E21B19"/>
    <w:rsid w:val="00E235E9"/>
    <w:rsid w:val="00E25D79"/>
    <w:rsid w:val="00E25F94"/>
    <w:rsid w:val="00E268FF"/>
    <w:rsid w:val="00E3106F"/>
    <w:rsid w:val="00E336DB"/>
    <w:rsid w:val="00E341C0"/>
    <w:rsid w:val="00E34CFC"/>
    <w:rsid w:val="00E35853"/>
    <w:rsid w:val="00E37299"/>
    <w:rsid w:val="00E37571"/>
    <w:rsid w:val="00E37AEA"/>
    <w:rsid w:val="00E40585"/>
    <w:rsid w:val="00E40FB3"/>
    <w:rsid w:val="00E41F15"/>
    <w:rsid w:val="00E427CA"/>
    <w:rsid w:val="00E42F55"/>
    <w:rsid w:val="00E43A07"/>
    <w:rsid w:val="00E43D9D"/>
    <w:rsid w:val="00E440CF"/>
    <w:rsid w:val="00E44F63"/>
    <w:rsid w:val="00E4675C"/>
    <w:rsid w:val="00E47281"/>
    <w:rsid w:val="00E50864"/>
    <w:rsid w:val="00E50A0F"/>
    <w:rsid w:val="00E53767"/>
    <w:rsid w:val="00E553DD"/>
    <w:rsid w:val="00E56572"/>
    <w:rsid w:val="00E56DB8"/>
    <w:rsid w:val="00E603C5"/>
    <w:rsid w:val="00E612FD"/>
    <w:rsid w:val="00E62D6F"/>
    <w:rsid w:val="00E654BA"/>
    <w:rsid w:val="00E658C9"/>
    <w:rsid w:val="00E65A87"/>
    <w:rsid w:val="00E65D20"/>
    <w:rsid w:val="00E77787"/>
    <w:rsid w:val="00E8086F"/>
    <w:rsid w:val="00E80E37"/>
    <w:rsid w:val="00E81137"/>
    <w:rsid w:val="00E81E80"/>
    <w:rsid w:val="00E83098"/>
    <w:rsid w:val="00E8406A"/>
    <w:rsid w:val="00E85F35"/>
    <w:rsid w:val="00E87B11"/>
    <w:rsid w:val="00E91480"/>
    <w:rsid w:val="00E918F8"/>
    <w:rsid w:val="00E924D9"/>
    <w:rsid w:val="00E928F5"/>
    <w:rsid w:val="00E93FCC"/>
    <w:rsid w:val="00E9544B"/>
    <w:rsid w:val="00E959D2"/>
    <w:rsid w:val="00EA138E"/>
    <w:rsid w:val="00EA1B6A"/>
    <w:rsid w:val="00EA2290"/>
    <w:rsid w:val="00EA39F0"/>
    <w:rsid w:val="00EA4820"/>
    <w:rsid w:val="00EA517B"/>
    <w:rsid w:val="00EB1A30"/>
    <w:rsid w:val="00EB2041"/>
    <w:rsid w:val="00EB31F6"/>
    <w:rsid w:val="00EB3240"/>
    <w:rsid w:val="00EB3A79"/>
    <w:rsid w:val="00EB4566"/>
    <w:rsid w:val="00EB4E51"/>
    <w:rsid w:val="00EB50E9"/>
    <w:rsid w:val="00EB61EB"/>
    <w:rsid w:val="00EC062F"/>
    <w:rsid w:val="00EC1F64"/>
    <w:rsid w:val="00EC2A0D"/>
    <w:rsid w:val="00EC373E"/>
    <w:rsid w:val="00EC43AB"/>
    <w:rsid w:val="00EC55C3"/>
    <w:rsid w:val="00EC5E6E"/>
    <w:rsid w:val="00ED3BF6"/>
    <w:rsid w:val="00EE2145"/>
    <w:rsid w:val="00EE72F6"/>
    <w:rsid w:val="00EE76E8"/>
    <w:rsid w:val="00EF0D93"/>
    <w:rsid w:val="00EF115A"/>
    <w:rsid w:val="00EF262C"/>
    <w:rsid w:val="00EF597F"/>
    <w:rsid w:val="00EF6CA7"/>
    <w:rsid w:val="00EF7655"/>
    <w:rsid w:val="00F01057"/>
    <w:rsid w:val="00F028B7"/>
    <w:rsid w:val="00F053F8"/>
    <w:rsid w:val="00F06454"/>
    <w:rsid w:val="00F07DB6"/>
    <w:rsid w:val="00F11714"/>
    <w:rsid w:val="00F11D46"/>
    <w:rsid w:val="00F12916"/>
    <w:rsid w:val="00F14814"/>
    <w:rsid w:val="00F15A98"/>
    <w:rsid w:val="00F16E02"/>
    <w:rsid w:val="00F1761D"/>
    <w:rsid w:val="00F17712"/>
    <w:rsid w:val="00F2304F"/>
    <w:rsid w:val="00F24402"/>
    <w:rsid w:val="00F30BD4"/>
    <w:rsid w:val="00F31A61"/>
    <w:rsid w:val="00F32A91"/>
    <w:rsid w:val="00F34480"/>
    <w:rsid w:val="00F3478D"/>
    <w:rsid w:val="00F363E2"/>
    <w:rsid w:val="00F41CB1"/>
    <w:rsid w:val="00F43074"/>
    <w:rsid w:val="00F457C0"/>
    <w:rsid w:val="00F459E3"/>
    <w:rsid w:val="00F516BE"/>
    <w:rsid w:val="00F55DCC"/>
    <w:rsid w:val="00F56C8C"/>
    <w:rsid w:val="00F57B7C"/>
    <w:rsid w:val="00F604E6"/>
    <w:rsid w:val="00F60B0A"/>
    <w:rsid w:val="00F6434A"/>
    <w:rsid w:val="00F66975"/>
    <w:rsid w:val="00F67544"/>
    <w:rsid w:val="00F72D3D"/>
    <w:rsid w:val="00F72DF3"/>
    <w:rsid w:val="00F72EC0"/>
    <w:rsid w:val="00F75E85"/>
    <w:rsid w:val="00F77768"/>
    <w:rsid w:val="00F77FB4"/>
    <w:rsid w:val="00F8505F"/>
    <w:rsid w:val="00F8686C"/>
    <w:rsid w:val="00F877C6"/>
    <w:rsid w:val="00F87B01"/>
    <w:rsid w:val="00F91B38"/>
    <w:rsid w:val="00F920CF"/>
    <w:rsid w:val="00F94360"/>
    <w:rsid w:val="00F95DEF"/>
    <w:rsid w:val="00FA147F"/>
    <w:rsid w:val="00FA1D35"/>
    <w:rsid w:val="00FA344D"/>
    <w:rsid w:val="00FA4B8F"/>
    <w:rsid w:val="00FA6071"/>
    <w:rsid w:val="00FB1905"/>
    <w:rsid w:val="00FB31DA"/>
    <w:rsid w:val="00FB3D9A"/>
    <w:rsid w:val="00FB72E7"/>
    <w:rsid w:val="00FC0C53"/>
    <w:rsid w:val="00FC172D"/>
    <w:rsid w:val="00FC7330"/>
    <w:rsid w:val="00FD1215"/>
    <w:rsid w:val="00FD1775"/>
    <w:rsid w:val="00FD5F98"/>
    <w:rsid w:val="00FD6100"/>
    <w:rsid w:val="00FD626C"/>
    <w:rsid w:val="00FE0DB7"/>
    <w:rsid w:val="00FE2637"/>
    <w:rsid w:val="00FE3776"/>
    <w:rsid w:val="00FE528E"/>
    <w:rsid w:val="00FF1BD6"/>
    <w:rsid w:val="00FF3055"/>
    <w:rsid w:val="00FF3144"/>
    <w:rsid w:val="00FF33CC"/>
    <w:rsid w:val="00FF62A0"/>
    <w:rsid w:val="00FF7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9C85"/>
  <w15:docId w15:val="{F843153A-9284-4376-80A5-822F1388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1"/>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styleId="SayfaNumaras">
    <w:name w:val="page number"/>
    <w:basedOn w:val="VarsaylanParagrafYazTipi"/>
    <w:semiHidden/>
    <w:rsid w:val="00AD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184589129">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82784-2147-414E-AA61-9194C62F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3</Pages>
  <Words>944</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385</cp:revision>
  <cp:lastPrinted>2020-11-19T08:35:00Z</cp:lastPrinted>
  <dcterms:created xsi:type="dcterms:W3CDTF">2020-03-11T10:57:00Z</dcterms:created>
  <dcterms:modified xsi:type="dcterms:W3CDTF">2020-11-25T08:53:00Z</dcterms:modified>
</cp:coreProperties>
</file>